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0C1931" w14:textId="77777777" w:rsidR="00F53551" w:rsidRDefault="00F53551" w:rsidP="00F53551">
      <w:pPr>
        <w:ind w:left="720"/>
        <w:jc w:val="right"/>
        <w:rPr>
          <w:rFonts w:ascii="Times New Roman" w:hAnsi="Times New Roman" w:cs="Times New Roman"/>
          <w:lang w:val="en-AU"/>
        </w:rPr>
      </w:pPr>
      <w:r w:rsidRPr="00F53551">
        <w:rPr>
          <w:rFonts w:ascii="Times New Roman" w:hAnsi="Times New Roman" w:cs="Times New Roman"/>
          <w:lang w:val="en-AU"/>
        </w:rPr>
        <w:t>Associate Professor</w:t>
      </w:r>
      <w:r>
        <w:rPr>
          <w:rFonts w:ascii="Times New Roman" w:hAnsi="Times New Roman" w:cs="Times New Roman"/>
          <w:lang w:val="en-AU"/>
        </w:rPr>
        <w:t xml:space="preserve"> Neil Foster</w:t>
      </w:r>
    </w:p>
    <w:p w14:paraId="5F2F164F" w14:textId="77777777" w:rsidR="00F53551" w:rsidRDefault="00F53551" w:rsidP="00F53551">
      <w:pPr>
        <w:ind w:left="720"/>
        <w:jc w:val="right"/>
        <w:rPr>
          <w:rFonts w:ascii="Times New Roman" w:hAnsi="Times New Roman" w:cs="Times New Roman"/>
          <w:lang w:val="en-AU"/>
        </w:rPr>
      </w:pPr>
      <w:r>
        <w:rPr>
          <w:rFonts w:ascii="Times New Roman" w:hAnsi="Times New Roman" w:cs="Times New Roman"/>
          <w:lang w:val="en-AU"/>
        </w:rPr>
        <w:t>Newcastle Law School</w:t>
      </w:r>
    </w:p>
    <w:p w14:paraId="2C77C6AB" w14:textId="77777777" w:rsidR="00F53551" w:rsidRDefault="00F53551" w:rsidP="00F53551">
      <w:pPr>
        <w:ind w:left="720"/>
        <w:jc w:val="right"/>
        <w:rPr>
          <w:rFonts w:ascii="Times New Roman" w:hAnsi="Times New Roman" w:cs="Times New Roman"/>
          <w:lang w:val="en-AU"/>
        </w:rPr>
      </w:pPr>
      <w:r>
        <w:rPr>
          <w:rFonts w:ascii="Times New Roman" w:hAnsi="Times New Roman" w:cs="Times New Roman"/>
          <w:lang w:val="en-AU"/>
        </w:rPr>
        <w:t>University of Newcastle</w:t>
      </w:r>
    </w:p>
    <w:p w14:paraId="0A0D4C2A" w14:textId="77777777" w:rsidR="00F53551" w:rsidRDefault="00F53551" w:rsidP="00F53551">
      <w:pPr>
        <w:ind w:left="720"/>
        <w:jc w:val="right"/>
        <w:rPr>
          <w:rFonts w:ascii="Times New Roman" w:hAnsi="Times New Roman" w:cs="Times New Roman"/>
          <w:lang w:val="en-AU"/>
        </w:rPr>
      </w:pPr>
    </w:p>
    <w:p w14:paraId="3B2FAA05" w14:textId="3F7548BE" w:rsidR="00F53551" w:rsidRDefault="004C3778" w:rsidP="00F53551">
      <w:pPr>
        <w:ind w:left="720"/>
        <w:jc w:val="right"/>
        <w:rPr>
          <w:rFonts w:ascii="Times New Roman" w:hAnsi="Times New Roman" w:cs="Times New Roman"/>
          <w:lang w:val="en-AU"/>
        </w:rPr>
      </w:pPr>
      <w:r>
        <w:rPr>
          <w:rFonts w:ascii="Times New Roman" w:hAnsi="Times New Roman" w:cs="Times New Roman"/>
          <w:lang w:val="en-AU"/>
        </w:rPr>
        <w:t>31</w:t>
      </w:r>
      <w:r w:rsidR="00AB309A">
        <w:rPr>
          <w:rFonts w:ascii="Times New Roman" w:hAnsi="Times New Roman" w:cs="Times New Roman"/>
          <w:lang w:val="en-AU"/>
        </w:rPr>
        <w:t xml:space="preserve"> January 2018</w:t>
      </w:r>
    </w:p>
    <w:p w14:paraId="2E9A5596" w14:textId="77777777" w:rsidR="00F53551" w:rsidRDefault="00F53551" w:rsidP="00F53551">
      <w:pPr>
        <w:ind w:left="720"/>
        <w:jc w:val="right"/>
        <w:rPr>
          <w:rFonts w:ascii="Times New Roman" w:hAnsi="Times New Roman" w:cs="Times New Roman"/>
          <w:lang w:val="en-AU"/>
        </w:rPr>
      </w:pPr>
    </w:p>
    <w:p w14:paraId="542032EA" w14:textId="77777777" w:rsidR="00AB309A" w:rsidRPr="00AB309A" w:rsidRDefault="00AB309A" w:rsidP="00AB309A">
      <w:pPr>
        <w:ind w:left="720"/>
        <w:rPr>
          <w:rFonts w:ascii="Times New Roman" w:hAnsi="Times New Roman" w:cs="Times New Roman"/>
          <w:lang w:val="en-AU"/>
        </w:rPr>
      </w:pPr>
      <w:r w:rsidRPr="00AB309A">
        <w:rPr>
          <w:rFonts w:ascii="Times New Roman" w:hAnsi="Times New Roman" w:cs="Times New Roman"/>
          <w:lang w:val="en-AU"/>
        </w:rPr>
        <w:t>The Expert Panel on Religious Freedom</w:t>
      </w:r>
      <w:r w:rsidRPr="00AB309A">
        <w:rPr>
          <w:rFonts w:ascii="Times New Roman" w:hAnsi="Times New Roman" w:cs="Times New Roman"/>
          <w:lang w:val="en-AU"/>
        </w:rPr>
        <w:br/>
        <w:t>C/O Department of the Prime Minister and Cabinet</w:t>
      </w:r>
      <w:r w:rsidRPr="00AB309A">
        <w:rPr>
          <w:rFonts w:ascii="Times New Roman" w:hAnsi="Times New Roman" w:cs="Times New Roman"/>
          <w:lang w:val="en-AU"/>
        </w:rPr>
        <w:br/>
        <w:t>PO Box 6500</w:t>
      </w:r>
      <w:r w:rsidRPr="00AB309A">
        <w:rPr>
          <w:rFonts w:ascii="Times New Roman" w:hAnsi="Times New Roman" w:cs="Times New Roman"/>
          <w:lang w:val="en-AU"/>
        </w:rPr>
        <w:br/>
        <w:t>Canberra ACT 2600</w:t>
      </w:r>
      <w:r w:rsidRPr="00AB309A">
        <w:rPr>
          <w:rFonts w:ascii="Times New Roman" w:hAnsi="Times New Roman" w:cs="Times New Roman"/>
          <w:lang w:val="en-AU"/>
        </w:rPr>
        <w:br/>
        <w:t>Australia</w:t>
      </w:r>
    </w:p>
    <w:p w14:paraId="724E106C" w14:textId="77777777" w:rsidR="00AB309A" w:rsidRPr="00AB309A" w:rsidRDefault="00AB309A" w:rsidP="00AB309A">
      <w:pPr>
        <w:ind w:left="720"/>
        <w:rPr>
          <w:rFonts w:ascii="Times New Roman" w:hAnsi="Times New Roman" w:cs="Times New Roman"/>
          <w:lang w:val="en-AU"/>
        </w:rPr>
      </w:pPr>
      <w:r w:rsidRPr="00AB309A">
        <w:rPr>
          <w:rFonts w:ascii="Times New Roman" w:hAnsi="Times New Roman" w:cs="Times New Roman"/>
          <w:lang w:val="en-AU"/>
        </w:rPr>
        <w:t>Email: </w:t>
      </w:r>
      <w:hyperlink r:id="rId7" w:history="1">
        <w:r w:rsidRPr="00AB309A">
          <w:rPr>
            <w:rStyle w:val="Hyperlink"/>
            <w:rFonts w:ascii="Times New Roman" w:hAnsi="Times New Roman" w:cs="Times New Roman"/>
            <w:lang w:val="en-AU"/>
          </w:rPr>
          <w:t>religiousfreedom@pmc.gov.au</w:t>
        </w:r>
      </w:hyperlink>
    </w:p>
    <w:p w14:paraId="3015AF24" w14:textId="77777777" w:rsidR="00F53551" w:rsidRDefault="00F53551" w:rsidP="00F53551">
      <w:pPr>
        <w:ind w:left="720"/>
        <w:rPr>
          <w:rFonts w:ascii="Times New Roman" w:hAnsi="Times New Roman" w:cs="Times New Roman"/>
        </w:rPr>
      </w:pPr>
    </w:p>
    <w:p w14:paraId="4AECD36A" w14:textId="1E195FBC" w:rsidR="00EE571E" w:rsidRDefault="00F53551" w:rsidP="00F53551">
      <w:pPr>
        <w:ind w:left="720"/>
        <w:jc w:val="center"/>
        <w:rPr>
          <w:rFonts w:ascii="Times New Roman" w:hAnsi="Times New Roman" w:cs="Times New Roman"/>
          <w:b/>
        </w:rPr>
      </w:pPr>
      <w:r>
        <w:rPr>
          <w:rFonts w:ascii="Times New Roman" w:hAnsi="Times New Roman" w:cs="Times New Roman"/>
          <w:b/>
        </w:rPr>
        <w:t>Submission</w:t>
      </w:r>
      <w:r w:rsidR="00445FEB">
        <w:rPr>
          <w:rFonts w:ascii="Times New Roman" w:hAnsi="Times New Roman" w:cs="Times New Roman"/>
          <w:b/>
        </w:rPr>
        <w:t xml:space="preserve"> to the</w:t>
      </w:r>
      <w:r>
        <w:rPr>
          <w:rFonts w:ascii="Times New Roman" w:hAnsi="Times New Roman" w:cs="Times New Roman"/>
          <w:b/>
        </w:rPr>
        <w:t xml:space="preserve"> </w:t>
      </w:r>
      <w:r w:rsidR="00AB309A">
        <w:rPr>
          <w:rFonts w:ascii="Times New Roman" w:hAnsi="Times New Roman" w:cs="Times New Roman"/>
          <w:b/>
          <w:bCs/>
        </w:rPr>
        <w:t>Religious Freedom Review Expert Panel</w:t>
      </w:r>
    </w:p>
    <w:p w14:paraId="7A777374" w14:textId="77777777" w:rsidR="00F53551" w:rsidRDefault="00F53551" w:rsidP="00F53551">
      <w:pPr>
        <w:ind w:left="720"/>
        <w:jc w:val="center"/>
        <w:rPr>
          <w:rFonts w:ascii="Times New Roman" w:hAnsi="Times New Roman" w:cs="Times New Roman"/>
          <w:b/>
        </w:rPr>
      </w:pPr>
    </w:p>
    <w:p w14:paraId="53952333" w14:textId="1A2425E7" w:rsidR="00F53551" w:rsidRDefault="004C63B5" w:rsidP="004C63B5">
      <w:pPr>
        <w:ind w:left="720"/>
        <w:jc w:val="both"/>
        <w:rPr>
          <w:rFonts w:ascii="Times New Roman" w:hAnsi="Times New Roman" w:cs="Times New Roman"/>
        </w:rPr>
      </w:pPr>
      <w:r w:rsidRPr="004C63B5">
        <w:rPr>
          <w:rFonts w:ascii="Times New Roman" w:hAnsi="Times New Roman" w:cs="Times New Roman"/>
        </w:rPr>
        <w:t xml:space="preserve">Dear </w:t>
      </w:r>
      <w:r w:rsidR="00AB309A">
        <w:rPr>
          <w:rFonts w:ascii="Times New Roman" w:hAnsi="Times New Roman" w:cs="Times New Roman"/>
        </w:rPr>
        <w:t>Panel Members</w:t>
      </w:r>
      <w:r>
        <w:rPr>
          <w:rFonts w:ascii="Times New Roman" w:hAnsi="Times New Roman" w:cs="Times New Roman"/>
        </w:rPr>
        <w:t>;</w:t>
      </w:r>
    </w:p>
    <w:p w14:paraId="2DF6876E" w14:textId="3AF5343B" w:rsidR="006F1501" w:rsidRDefault="00445FEB" w:rsidP="00AB309A">
      <w:pPr>
        <w:pStyle w:val="IndentPara"/>
      </w:pPr>
      <w:r>
        <w:t xml:space="preserve">I welcome the opportunity to </w:t>
      </w:r>
      <w:r w:rsidR="00AB309A">
        <w:t>provide a submission to the Panel on the topic of its Review, “</w:t>
      </w:r>
      <w:r w:rsidR="00AB309A" w:rsidRPr="00AB309A">
        <w:t>whether Australian law (Commonwealth, State and Territory) adequately protects the human right to freedom of religion</w:t>
      </w:r>
      <w:r w:rsidR="00AB309A">
        <w:t>”</w:t>
      </w:r>
      <w:r>
        <w:t xml:space="preserve">. As an academic who teaches </w:t>
      </w:r>
      <w:r>
        <w:rPr>
          <w:i/>
        </w:rPr>
        <w:t>Law and Religion</w:t>
      </w:r>
      <w:r>
        <w:t xml:space="preserve"> as an elective to upper level law students, a blogger on the topic,</w:t>
      </w:r>
      <w:r>
        <w:rPr>
          <w:rStyle w:val="FootnoteReference"/>
        </w:rPr>
        <w:footnoteReference w:id="1"/>
      </w:r>
      <w:r>
        <w:t xml:space="preserve"> and author of some published articles on these issues, I am greatly encouraged that the</w:t>
      </w:r>
      <w:r w:rsidR="00AB309A">
        <w:t xml:space="preserve"> Panel, as requested by </w:t>
      </w:r>
      <w:r w:rsidR="00727752">
        <w:t xml:space="preserve">the Prime Minister, </w:t>
      </w:r>
      <w:r>
        <w:t>is reviewing this important area.</w:t>
      </w:r>
      <w:r w:rsidR="00727752">
        <w:rPr>
          <w:rStyle w:val="FootnoteReference"/>
        </w:rPr>
        <w:footnoteReference w:id="2"/>
      </w:r>
    </w:p>
    <w:p w14:paraId="701A1F16" w14:textId="6CA7A0ED" w:rsidR="00445FEB" w:rsidRDefault="00445FEB" w:rsidP="006F1501">
      <w:pPr>
        <w:pStyle w:val="IndentPara"/>
      </w:pPr>
      <w:r>
        <w:t>I attach to this submission</w:t>
      </w:r>
      <w:r w:rsidR="00873E9B">
        <w:t xml:space="preserve"> (Attachment 1)</w:t>
      </w:r>
      <w:r>
        <w:t xml:space="preserve"> a document entitled “</w:t>
      </w:r>
      <w:r w:rsidR="00727752">
        <w:t>Religious Freedom in Australia- 2017 update</w:t>
      </w:r>
      <w:r>
        <w:t xml:space="preserve">”. This paper reviews the different ways that religious freedom is protected in Australia at the </w:t>
      </w:r>
      <w:r w:rsidR="00873E9B">
        <w:t>moment and</w:t>
      </w:r>
      <w:r w:rsidR="00232D20">
        <w:t xml:space="preserve"> notes a number of gaps and shortcomings in the current law</w:t>
      </w:r>
      <w:r>
        <w:t>. I would like to regard that paper as incorporated into this submission. In short, it outlines the following ways in which freedom of religion is protected in Australia at the moment:</w:t>
      </w:r>
    </w:p>
    <w:p w14:paraId="1A761E2A" w14:textId="29AB81AB" w:rsidR="00445FEB" w:rsidRDefault="00445FEB" w:rsidP="00445FEB">
      <w:pPr>
        <w:pStyle w:val="IndentPara"/>
        <w:numPr>
          <w:ilvl w:val="0"/>
          <w:numId w:val="7"/>
        </w:numPr>
      </w:pPr>
      <w:r>
        <w:t xml:space="preserve">Under </w:t>
      </w:r>
      <w:r w:rsidRPr="004F6082">
        <w:rPr>
          <w:b/>
        </w:rPr>
        <w:t>s 116</w:t>
      </w:r>
      <w:r>
        <w:t xml:space="preserve"> of the Constitution (although this only constrains action by the Commonwealth and, arguably, the Territories, and is not binding on the States);</w:t>
      </w:r>
    </w:p>
    <w:p w14:paraId="17621AD1" w14:textId="1240519D" w:rsidR="00445FEB" w:rsidRDefault="00445FEB" w:rsidP="00445FEB">
      <w:pPr>
        <w:pStyle w:val="IndentPara"/>
        <w:numPr>
          <w:ilvl w:val="0"/>
          <w:numId w:val="7"/>
        </w:numPr>
      </w:pPr>
      <w:r>
        <w:t xml:space="preserve">Protection under </w:t>
      </w:r>
      <w:r w:rsidRPr="004F6082">
        <w:rPr>
          <w:b/>
        </w:rPr>
        <w:t>international instruments</w:t>
      </w:r>
      <w:r>
        <w:t xml:space="preserve"> such as art 18 of the ICCPR (although these obligations are not directly justiciable in Australian courts, they can sometimes provide interpretative guidance where ambiguities may be present);</w:t>
      </w:r>
    </w:p>
    <w:p w14:paraId="3D91824B" w14:textId="1F1999CE" w:rsidR="00445FEB" w:rsidRDefault="00445FEB" w:rsidP="00445FEB">
      <w:pPr>
        <w:pStyle w:val="IndentPara"/>
        <w:numPr>
          <w:ilvl w:val="0"/>
          <w:numId w:val="7"/>
        </w:numPr>
      </w:pPr>
      <w:r>
        <w:t xml:space="preserve">Possible protection under </w:t>
      </w:r>
      <w:r w:rsidRPr="004F6082">
        <w:rPr>
          <w:b/>
        </w:rPr>
        <w:t>common law principles</w:t>
      </w:r>
      <w:r>
        <w:t xml:space="preserve"> (although the paper notes that this is highly contested, there may be a “developing” common law principle protecting religious freedom);</w:t>
      </w:r>
    </w:p>
    <w:p w14:paraId="1314C6C1" w14:textId="3102960D" w:rsidR="00445FEB" w:rsidRDefault="00445FEB" w:rsidP="00445FEB">
      <w:pPr>
        <w:pStyle w:val="IndentPara"/>
        <w:numPr>
          <w:ilvl w:val="0"/>
          <w:numId w:val="7"/>
        </w:numPr>
      </w:pPr>
      <w:r>
        <w:t xml:space="preserve">Protection under </w:t>
      </w:r>
      <w:r w:rsidRPr="004F6082">
        <w:rPr>
          <w:b/>
        </w:rPr>
        <w:t>State</w:t>
      </w:r>
      <w:r w:rsidR="00232D20">
        <w:rPr>
          <w:b/>
        </w:rPr>
        <w:t xml:space="preserve"> or Territory</w:t>
      </w:r>
      <w:r w:rsidRPr="004F6082">
        <w:rPr>
          <w:b/>
        </w:rPr>
        <w:t xml:space="preserve"> charters of rights</w:t>
      </w:r>
      <w:r>
        <w:t xml:space="preserve"> (which again, while not directly actionable, provide interpretative guidance for State courts);</w:t>
      </w:r>
    </w:p>
    <w:p w14:paraId="53F642D0" w14:textId="31AFF27C" w:rsidR="00445FEB" w:rsidRDefault="00445FEB" w:rsidP="00445FEB">
      <w:pPr>
        <w:pStyle w:val="IndentPara"/>
        <w:numPr>
          <w:ilvl w:val="0"/>
          <w:numId w:val="7"/>
        </w:numPr>
      </w:pPr>
      <w:r>
        <w:t xml:space="preserve">Protection provided by State laws which make </w:t>
      </w:r>
      <w:r w:rsidRPr="004F6082">
        <w:rPr>
          <w:b/>
        </w:rPr>
        <w:t>discrimination</w:t>
      </w:r>
      <w:r>
        <w:t xml:space="preserve"> on the grounds of religious belief unlawful (not present in all States, and in particular missing from Commonwealth discrimination laws);</w:t>
      </w:r>
    </w:p>
    <w:p w14:paraId="342E3673" w14:textId="0C620CB3" w:rsidR="00445FEB" w:rsidRDefault="00445FEB" w:rsidP="005577E6">
      <w:pPr>
        <w:pStyle w:val="IndentPara"/>
        <w:numPr>
          <w:ilvl w:val="0"/>
          <w:numId w:val="7"/>
        </w:numPr>
      </w:pPr>
      <w:r>
        <w:t xml:space="preserve">Protection provided in </w:t>
      </w:r>
      <w:r w:rsidRPr="004F6082">
        <w:rPr>
          <w:b/>
        </w:rPr>
        <w:t>“balancing clauses”</w:t>
      </w:r>
      <w:r>
        <w:t xml:space="preserve"> inserted into discrimination legislation directed to other matters such as sex or sexual orientation, to balance the human right to religious freedom with the right not to be discriminated against. (I prefer the terminology of “balancing clauses” </w:t>
      </w:r>
      <w:r>
        <w:lastRenderedPageBreak/>
        <w:t>rather than use of the word “exemptions”, which can imply that religious freedom is a lesser and more easily waived right than other human rights.)</w:t>
      </w:r>
      <w:r>
        <w:rPr>
          <w:rStyle w:val="FootnoteReference"/>
        </w:rPr>
        <w:footnoteReference w:id="3"/>
      </w:r>
      <w:r w:rsidR="004F6082">
        <w:t xml:space="preserve"> I note in the paper that while such provisions are often present for the benefit of churches and “religious organisations”, there is generally little protection for individual believers who are not clergy or part of these larger groups. I recommend that such protection should be provided.</w:t>
      </w:r>
    </w:p>
    <w:p w14:paraId="179C779D" w14:textId="1AA81A9B" w:rsidR="00C3114A" w:rsidRDefault="005577E6" w:rsidP="005577E6">
      <w:pPr>
        <w:pStyle w:val="Heading1"/>
      </w:pPr>
      <w:r>
        <w:t>Is reform desirable?</w:t>
      </w:r>
    </w:p>
    <w:p w14:paraId="47327B4D" w14:textId="77777777" w:rsidR="00873E9B" w:rsidRPr="00873E9B" w:rsidRDefault="00873E9B" w:rsidP="00873E9B">
      <w:pPr>
        <w:pStyle w:val="Indentpara0"/>
      </w:pPr>
      <w:r>
        <w:t xml:space="preserve">I note that </w:t>
      </w:r>
      <w:r w:rsidRPr="00873E9B">
        <w:t>the Prime Minister has instructed the Panel to:</w:t>
      </w:r>
    </w:p>
    <w:p w14:paraId="76B103D3" w14:textId="66732D07" w:rsidR="00873E9B" w:rsidRPr="00873E9B" w:rsidRDefault="00873E9B" w:rsidP="00873E9B">
      <w:pPr>
        <w:pStyle w:val="Indentpara0"/>
        <w:numPr>
          <w:ilvl w:val="0"/>
          <w:numId w:val="8"/>
        </w:numPr>
      </w:pPr>
      <w:r w:rsidRPr="00873E9B">
        <w:t>consider the intersections between the enjoyment of the freedom of religion and other human rights</w:t>
      </w:r>
      <w:r>
        <w:t>;</w:t>
      </w:r>
    </w:p>
    <w:p w14:paraId="7FECA119" w14:textId="6B9354E2" w:rsidR="00873E9B" w:rsidRPr="00873E9B" w:rsidRDefault="00873E9B" w:rsidP="00873E9B">
      <w:pPr>
        <w:pStyle w:val="Indentpara0"/>
        <w:numPr>
          <w:ilvl w:val="0"/>
          <w:numId w:val="8"/>
        </w:numPr>
      </w:pPr>
      <w:r w:rsidRPr="00873E9B">
        <w:t>have regard to any previous or ongoing reviews or inquiries that it considers relevant</w:t>
      </w:r>
      <w:r>
        <w:t>;</w:t>
      </w:r>
    </w:p>
    <w:p w14:paraId="33ED2834" w14:textId="574B6183" w:rsidR="00873E9B" w:rsidRDefault="00873E9B" w:rsidP="00873E9B">
      <w:pPr>
        <w:pStyle w:val="Indentpara0"/>
        <w:numPr>
          <w:ilvl w:val="0"/>
          <w:numId w:val="8"/>
        </w:numPr>
      </w:pPr>
      <w:r w:rsidRPr="00873E9B">
        <w:t>consult as widely as it considers necessary</w:t>
      </w:r>
      <w:r>
        <w:t>.</w:t>
      </w:r>
    </w:p>
    <w:p w14:paraId="3BC6ED16" w14:textId="7D665DC3" w:rsidR="00873E9B" w:rsidRPr="00630114" w:rsidRDefault="00873E9B" w:rsidP="005577E6">
      <w:pPr>
        <w:pStyle w:val="Indentpara0"/>
      </w:pPr>
      <w:r>
        <w:t>Implementation of any civil right of one individual (whether in the category of an internationally recognised “human right” or simply a private right given by the civil law) will usually involve a possible limitation on the civil rights of other individuals.</w:t>
      </w:r>
      <w:r w:rsidR="00630114">
        <w:t xml:space="preserve"> My right to “freedom of movement”, for example, must be limited by the right of property owners to limit access to their real estate. So of course, the right to freedom of religious exercise may occasionally need to be limited by other rights. However, it is vital that the Panel does not accept the proposition that religious freedom must </w:t>
      </w:r>
      <w:r w:rsidR="00630114">
        <w:rPr>
          <w:i/>
        </w:rPr>
        <w:t>always</w:t>
      </w:r>
      <w:r w:rsidR="00630114">
        <w:t xml:space="preserve"> give way to other asserted rights, such as a right not to be discriminated against. Religious freedom is a fundamental human right which must not be lightly interfered with. Art 18(3) of the ICCPR allows for narrow, not wide-reaching, limits which must be carefully justified. Australian legislation ought to be designed with these narrow limits in mind, and not hand over wide bureaucratic discretions which lead to the watering down of religious freedom protection to depend on the mood of administrators on the day.</w:t>
      </w:r>
    </w:p>
    <w:p w14:paraId="3E1163AE" w14:textId="733BA312" w:rsidR="005577E6" w:rsidRDefault="005577E6" w:rsidP="005577E6">
      <w:pPr>
        <w:pStyle w:val="Indentpara0"/>
      </w:pPr>
      <w:r>
        <w:t xml:space="preserve">I would like to </w:t>
      </w:r>
      <w:r w:rsidR="001466D7">
        <w:t>urge</w:t>
      </w:r>
      <w:r>
        <w:t xml:space="preserve"> that, given the “patchwork” protection for freedom of religion noted above and in the attached papers, it is </w:t>
      </w:r>
      <w:r w:rsidR="00232D20">
        <w:t xml:space="preserve">far </w:t>
      </w:r>
      <w:r>
        <w:t xml:space="preserve">past time for consideration to be given at the Commonwealth level </w:t>
      </w:r>
      <w:r w:rsidR="001466D7">
        <w:t>to</w:t>
      </w:r>
      <w:r>
        <w:t xml:space="preserve"> protection of religious freedom </w:t>
      </w:r>
      <w:r w:rsidR="001466D7">
        <w:t>being</w:t>
      </w:r>
      <w:r>
        <w:t xml:space="preserve"> the subject of specific legislation. The Commonwealth has undertaken to provide serious religious freedom protection by acceding to the ICCPR and under art 18 in particular. It would be appropriate that this commitment be translated into </w:t>
      </w:r>
      <w:r w:rsidR="001466D7">
        <w:t xml:space="preserve">federal </w:t>
      </w:r>
      <w:r>
        <w:t>law. Apart from other sources of Commonwealth power, it would seem fairly clear that the external affairs power would support implementation of the international human right to free exercise of religion, limited in the specific ways provided under art 18 but not in other ways that currently narrow its scope.</w:t>
      </w:r>
    </w:p>
    <w:p w14:paraId="67B238A7" w14:textId="32E69FCD" w:rsidR="00232D20" w:rsidRDefault="00232D20" w:rsidP="00232D20">
      <w:pPr>
        <w:pStyle w:val="Indentpara0"/>
      </w:pPr>
      <w:r>
        <w:t>In particular, given the context of the Panel’s appointment following the debate on adopting same-sex marriage in Australia, there are a number of areas where increased protection for religious freedom ought to be provided in areas relating to marriage. I attach</w:t>
      </w:r>
      <w:r w:rsidR="00873E9B">
        <w:t xml:space="preserve"> (Attachment 2)</w:t>
      </w:r>
      <w:r>
        <w:t xml:space="preserve"> and would like to regard as incorporated into this submission, an academic paper I am shortly to present entitled “</w:t>
      </w:r>
      <w:r w:rsidRPr="00232D20">
        <w:t>Protection of Religious Freedom under Australia’s Amended Marriage Law: Constitutional</w:t>
      </w:r>
      <w:r>
        <w:t xml:space="preserve"> </w:t>
      </w:r>
      <w:r w:rsidRPr="00232D20">
        <w:rPr>
          <w:lang w:val="en-US"/>
        </w:rPr>
        <w:t>and Other Issues</w:t>
      </w:r>
      <w:r>
        <w:rPr>
          <w:lang w:val="en-US"/>
        </w:rPr>
        <w:t>”.</w:t>
      </w:r>
      <w:r>
        <w:rPr>
          <w:rStyle w:val="FootnoteReference"/>
          <w:lang w:val="en-US"/>
        </w:rPr>
        <w:footnoteReference w:id="4"/>
      </w:r>
    </w:p>
    <w:p w14:paraId="452C8BB2" w14:textId="3FA4F18F" w:rsidR="005577E6" w:rsidRDefault="005577E6" w:rsidP="00873E9B">
      <w:pPr>
        <w:pStyle w:val="Indentpara0"/>
      </w:pPr>
      <w:r>
        <w:lastRenderedPageBreak/>
        <w:t xml:space="preserve">In the past, </w:t>
      </w:r>
      <w:r w:rsidR="001466D7">
        <w:t>it is true to say that</w:t>
      </w:r>
      <w:r>
        <w:t xml:space="preserve"> religious groups have been some of the strongest voices resisting formal protection of religious freedom through statute.</w:t>
      </w:r>
      <w:r>
        <w:rPr>
          <w:rStyle w:val="FootnoteReference"/>
        </w:rPr>
        <w:footnoteReference w:id="5"/>
      </w:r>
      <w:r>
        <w:t xml:space="preserve"> But it seems likely that many of those concerns can be met by adoption of clear guidelines for judicial decision-making (rather than leaving open-ended discretions to judges), by legislating clear and workable “balancing clauses” to ensure that the religious freedoms of different groups are reasonably accommodated, and by fully (not partially) implementing the narrow “limitations” provisions of art 18(3) ICCPR. </w:t>
      </w:r>
      <w:r w:rsidR="00232D20">
        <w:t xml:space="preserve">I have seen </w:t>
      </w:r>
      <w:r w:rsidR="00C11CEE">
        <w:t>the</w:t>
      </w:r>
      <w:r w:rsidR="00232D20">
        <w:t xml:space="preserve"> submission provided to the Panel by the organisation “Freedom for Faith”, and I strongly support the recommendations for </w:t>
      </w:r>
      <w:r w:rsidR="00873E9B">
        <w:t>change made</w:t>
      </w:r>
      <w:r w:rsidR="00232D20">
        <w:t xml:space="preserve"> by that submission.</w:t>
      </w:r>
      <w:bookmarkStart w:id="0" w:name="_Ref505170776"/>
      <w:r w:rsidR="004C3778">
        <w:rPr>
          <w:rStyle w:val="FootnoteReference"/>
        </w:rPr>
        <w:footnoteReference w:id="6"/>
      </w:r>
      <w:bookmarkEnd w:id="0"/>
    </w:p>
    <w:p w14:paraId="34CDFA34" w14:textId="4CB4899E" w:rsidR="00C11CEE" w:rsidRDefault="00EA6472" w:rsidP="00873E9B">
      <w:pPr>
        <w:pStyle w:val="Indentpara0"/>
      </w:pPr>
      <w:r>
        <w:t>Briefly, i</w:t>
      </w:r>
      <w:r w:rsidR="00C11CEE">
        <w:t>t would seem that appropriate protections could be provided in the following ways:</w:t>
      </w:r>
    </w:p>
    <w:p w14:paraId="4520C7B5" w14:textId="1FD8F459" w:rsidR="00C11CEE" w:rsidRDefault="00C11CEE" w:rsidP="00C11CEE">
      <w:pPr>
        <w:pStyle w:val="Indentpara0"/>
        <w:numPr>
          <w:ilvl w:val="0"/>
          <w:numId w:val="9"/>
        </w:numPr>
      </w:pPr>
      <w:r>
        <w:t xml:space="preserve">By enacting legislation implementing Australia’s obligation to protect religious freedom under art 18 ICCPR. In line with the model adopted in other jurisdictions (such as the UK </w:t>
      </w:r>
      <w:r>
        <w:rPr>
          <w:i/>
        </w:rPr>
        <w:t>Human Rights Act</w:t>
      </w:r>
      <w:r>
        <w:t xml:space="preserve"> 1998) this legislation could provide protection for individuals</w:t>
      </w:r>
      <w:r w:rsidR="00EA6472">
        <w:t xml:space="preserve"> and religious organisations</w:t>
      </w:r>
      <w:r>
        <w:t xml:space="preserve"> against detrimental action by government actors, at Commonwealth, State, Territory and local government levels, whether through law-making or by administrative decisions.</w:t>
      </w:r>
    </w:p>
    <w:p w14:paraId="53AD3687" w14:textId="35D3D3BD" w:rsidR="00981F95" w:rsidRPr="005D1822" w:rsidRDefault="00981F95" w:rsidP="00C11CEE">
      <w:pPr>
        <w:pStyle w:val="Indentpara0"/>
        <w:numPr>
          <w:ilvl w:val="0"/>
          <w:numId w:val="9"/>
        </w:numPr>
      </w:pPr>
      <w:r>
        <w:t>By adding religious belief, and action in accordance with that belief, to the “prohibited grounds” that can be relied on in a discrimination claim</w:t>
      </w:r>
      <w:r w:rsidR="001466D7">
        <w:t xml:space="preserve"> by individuals or groups</w:t>
      </w:r>
      <w:r>
        <w:t xml:space="preserve">. In the Commonwealth context, given the past history of enacting </w:t>
      </w:r>
      <w:r w:rsidR="00EF6081">
        <w:t>separate</w:t>
      </w:r>
      <w:r>
        <w:t xml:space="preserve"> legislation dealing with specific prohibited grounds, this would seem to require the introduction of a “Religious Discrimination Act” or something similar, supported by international instruments such as</w:t>
      </w:r>
      <w:r w:rsidR="005D1822">
        <w:t xml:space="preserve"> the UN</w:t>
      </w:r>
      <w:r>
        <w:t xml:space="preserve"> </w:t>
      </w:r>
      <w:r w:rsidR="005D1822">
        <w:rPr>
          <w:sz w:val="23"/>
          <w:szCs w:val="23"/>
        </w:rPr>
        <w:t>Declaration on the Elimination of All Forms of Intolerance and of Discrimination Based on Religion or Belief</w:t>
      </w:r>
      <w:r w:rsidR="005D1822">
        <w:rPr>
          <w:sz w:val="23"/>
          <w:szCs w:val="23"/>
        </w:rPr>
        <w:t>. The legislation should cover both direct and indirect forms of discrimination, and, in line with recent trends in other such laws,</w:t>
      </w:r>
      <w:r w:rsidR="005D1822">
        <w:rPr>
          <w:rStyle w:val="FootnoteReference"/>
          <w:sz w:val="23"/>
          <w:szCs w:val="23"/>
        </w:rPr>
        <w:footnoteReference w:id="7"/>
      </w:r>
      <w:r w:rsidR="005D1822">
        <w:rPr>
          <w:sz w:val="23"/>
          <w:szCs w:val="23"/>
        </w:rPr>
        <w:t xml:space="preserve"> include an obligation to make “reasonable accommodation” for persons holding genuine religious beliefs.</w:t>
      </w:r>
    </w:p>
    <w:p w14:paraId="3164FD61" w14:textId="060C3DB7" w:rsidR="005D1822" w:rsidRPr="00EA6472" w:rsidRDefault="005D1822" w:rsidP="00C11CEE">
      <w:pPr>
        <w:pStyle w:val="Indentpara0"/>
        <w:numPr>
          <w:ilvl w:val="0"/>
          <w:numId w:val="9"/>
        </w:numPr>
      </w:pPr>
      <w:r>
        <w:rPr>
          <w:sz w:val="23"/>
          <w:szCs w:val="23"/>
        </w:rPr>
        <w:t>The Panel should also be clear in its support for the continued operation of “balancing clauses” in discrimination laws based on other grounds, to reflect the specific issues raised for religious groups and individuals. Such clauses should not be watered down in any way or restricted to operation in cases of “occupational requirements”, given the broad freedom that needs to be provided to religious groups to operate in accordance with the reasons for their existence and their fundamental ethos.</w:t>
      </w:r>
      <w:r w:rsidR="004C3778">
        <w:rPr>
          <w:sz w:val="23"/>
          <w:szCs w:val="23"/>
        </w:rPr>
        <w:t xml:space="preserve"> Indeed, existing balancing clauses protecting religious organisations should be extended to cover the situation of individual </w:t>
      </w:r>
      <w:r w:rsidR="004C3778">
        <w:rPr>
          <w:sz w:val="23"/>
          <w:szCs w:val="23"/>
        </w:rPr>
        <w:t>persons holding genuine religious beliefs</w:t>
      </w:r>
      <w:r w:rsidR="004C3778">
        <w:rPr>
          <w:sz w:val="23"/>
          <w:szCs w:val="23"/>
        </w:rPr>
        <w:t>. Of course, as noted in the Freedom for Faith submission, protection of religious beliefs would not be justified where issues of national security or protection of children are at stake.</w:t>
      </w:r>
      <w:r w:rsidR="004C3778">
        <w:rPr>
          <w:rStyle w:val="FootnoteReference"/>
          <w:sz w:val="23"/>
          <w:szCs w:val="23"/>
        </w:rPr>
        <w:footnoteReference w:id="8"/>
      </w:r>
    </w:p>
    <w:p w14:paraId="6122C0D6" w14:textId="2E7B19BE" w:rsidR="00EA6472" w:rsidRPr="00F01AAB" w:rsidRDefault="00EA6472" w:rsidP="00C11CEE">
      <w:pPr>
        <w:pStyle w:val="Indentpara0"/>
        <w:numPr>
          <w:ilvl w:val="0"/>
          <w:numId w:val="9"/>
        </w:numPr>
      </w:pPr>
      <w:r>
        <w:rPr>
          <w:sz w:val="23"/>
          <w:szCs w:val="23"/>
        </w:rPr>
        <w:t xml:space="preserve">Commonwealth legislation should also make clear (whether by amendment to the </w:t>
      </w:r>
      <w:r>
        <w:rPr>
          <w:i/>
          <w:sz w:val="23"/>
          <w:szCs w:val="23"/>
        </w:rPr>
        <w:t>Marriage Act</w:t>
      </w:r>
      <w:r>
        <w:rPr>
          <w:sz w:val="23"/>
          <w:szCs w:val="23"/>
        </w:rPr>
        <w:t xml:space="preserve"> 1961 or as part of the suggested “Religious </w:t>
      </w:r>
      <w:r>
        <w:rPr>
          <w:sz w:val="23"/>
          <w:szCs w:val="23"/>
        </w:rPr>
        <w:lastRenderedPageBreak/>
        <w:t>Discrimination Act”) that the expression of views on marriage from a religious perspective does not amount of itself to unlawful “vilification” or “hate speech”.</w:t>
      </w:r>
      <w:r w:rsidR="001466D7">
        <w:rPr>
          <w:sz w:val="23"/>
          <w:szCs w:val="23"/>
        </w:rPr>
        <w:t xml:space="preserve"> I commend to the Panel the other suggestions made in Attachment 2 for further protection of religious freedom specifically flowing from recent changes to the marriage laws.</w:t>
      </w:r>
      <w:r w:rsidR="00F01AAB">
        <w:rPr>
          <w:sz w:val="23"/>
          <w:szCs w:val="23"/>
        </w:rPr>
        <w:t xml:space="preserve"> In particular, I recommend</w:t>
      </w:r>
      <w:r w:rsidR="00A13075">
        <w:rPr>
          <w:sz w:val="23"/>
          <w:szCs w:val="23"/>
        </w:rPr>
        <w:t xml:space="preserve"> that</w:t>
      </w:r>
    </w:p>
    <w:p w14:paraId="52BE4C3E" w14:textId="129A7103" w:rsidR="00F01AAB" w:rsidRDefault="00A13075" w:rsidP="00F01AAB">
      <w:pPr>
        <w:pStyle w:val="Indentpara0"/>
        <w:numPr>
          <w:ilvl w:val="1"/>
          <w:numId w:val="9"/>
        </w:numPr>
      </w:pPr>
      <w:r>
        <w:t>“new” marriage celebrants who are not ministers of religion be entitled to register as “religious marriage celebrants”;</w:t>
      </w:r>
    </w:p>
    <w:p w14:paraId="2B15F41F" w14:textId="4C6220E6" w:rsidR="00A13075" w:rsidRDefault="00A13075" w:rsidP="00F01AAB">
      <w:pPr>
        <w:pStyle w:val="Indentpara0"/>
        <w:numPr>
          <w:ilvl w:val="1"/>
          <w:numId w:val="9"/>
        </w:numPr>
      </w:pPr>
      <w:r>
        <w:t>public service celebrants with religious convictions on marriage be accommodated to the maximum extent possible;</w:t>
      </w:r>
    </w:p>
    <w:p w14:paraId="1EFF8A1C" w14:textId="49EE3D4E" w:rsidR="00A13075" w:rsidRDefault="00A13075" w:rsidP="00F01AAB">
      <w:pPr>
        <w:pStyle w:val="Indentpara0"/>
        <w:numPr>
          <w:ilvl w:val="1"/>
          <w:numId w:val="9"/>
        </w:numPr>
      </w:pPr>
      <w:r>
        <w:t>individuals and groups not be required to express their artistic support for a model of marriage inconsistent with their deeply held religious convictions;</w:t>
      </w:r>
    </w:p>
    <w:p w14:paraId="6B94F164" w14:textId="2A035C36" w:rsidR="00A13075" w:rsidRDefault="00A13075" w:rsidP="00F01AAB">
      <w:pPr>
        <w:pStyle w:val="Indentpara0"/>
        <w:numPr>
          <w:ilvl w:val="1"/>
          <w:numId w:val="9"/>
        </w:numPr>
      </w:pPr>
      <w:r>
        <w:t>the principle that religious schools are entitled to teach students views on marriage that accord with their religious beliefs, be affirmed;</w:t>
      </w:r>
    </w:p>
    <w:p w14:paraId="62F69D74" w14:textId="11DCC7CC" w:rsidR="00A13075" w:rsidRDefault="00A13075" w:rsidP="00F01AAB">
      <w:pPr>
        <w:pStyle w:val="Indentpara0"/>
        <w:numPr>
          <w:ilvl w:val="1"/>
          <w:numId w:val="9"/>
        </w:numPr>
      </w:pPr>
      <w:r>
        <w:t>no-one ought to be penalised in their employment because of faith-based views on marriage alone;</w:t>
      </w:r>
    </w:p>
    <w:p w14:paraId="274EB75A" w14:textId="0B2A7D56" w:rsidR="00A13075" w:rsidRDefault="00A13075" w:rsidP="00F01AAB">
      <w:pPr>
        <w:pStyle w:val="Indentpara0"/>
        <w:numPr>
          <w:ilvl w:val="1"/>
          <w:numId w:val="9"/>
        </w:numPr>
      </w:pPr>
      <w:r>
        <w:t>religious non-profit groups ought not to lose government support because of their faith-based views on marriage.</w:t>
      </w:r>
    </w:p>
    <w:p w14:paraId="0D40D4A5" w14:textId="53B2C289" w:rsidR="00A13075" w:rsidRDefault="00A13075" w:rsidP="00A13075">
      <w:pPr>
        <w:pStyle w:val="Indentpara0"/>
        <w:ind w:left="1843" w:hanging="43"/>
      </w:pPr>
      <w:r>
        <w:t>(Some of these issues would probably be resolved were the above recommendations on general religious freedom protections adopted. But clarity on these issues may still be desirable for avoidance of doubt.)</w:t>
      </w:r>
    </w:p>
    <w:p w14:paraId="42E02CFC" w14:textId="5345FF6D" w:rsidR="00EA6472" w:rsidRPr="00A13075" w:rsidRDefault="00EA6472" w:rsidP="00C11CEE">
      <w:pPr>
        <w:pStyle w:val="Indentpara0"/>
        <w:numPr>
          <w:ilvl w:val="0"/>
          <w:numId w:val="9"/>
        </w:numPr>
      </w:pPr>
      <w:r>
        <w:rPr>
          <w:sz w:val="23"/>
          <w:szCs w:val="23"/>
        </w:rPr>
        <w:t>In particular, the appointment of a National Religious Freedom Commissioner, as recommended by the Freedom for Faith submission, seems a sensible step which will allow these matters to be progressed in government on an ongoing basis.</w:t>
      </w:r>
    </w:p>
    <w:p w14:paraId="0BDDDC83" w14:textId="77777777" w:rsidR="00A13075" w:rsidRDefault="00A13075" w:rsidP="00A13075">
      <w:pPr>
        <w:pStyle w:val="Indentpara0"/>
        <w:ind w:left="2160" w:firstLine="0"/>
      </w:pPr>
      <w:bookmarkStart w:id="1" w:name="_GoBack"/>
      <w:bookmarkEnd w:id="1"/>
    </w:p>
    <w:p w14:paraId="65B65004" w14:textId="27FA5C4C" w:rsidR="006F1501" w:rsidRDefault="006F1501" w:rsidP="006F1501">
      <w:pPr>
        <w:pStyle w:val="IndentPara"/>
      </w:pPr>
      <w:r>
        <w:t xml:space="preserve">I thank the </w:t>
      </w:r>
      <w:r w:rsidR="00232D20">
        <w:t>Panel</w:t>
      </w:r>
      <w:r>
        <w:t xml:space="preserve"> for the opportunity to provide these </w:t>
      </w:r>
      <w:r w:rsidR="00630114">
        <w:t>comments and</w:t>
      </w:r>
      <w:r>
        <w:t xml:space="preserve"> would be happy to assist with </w:t>
      </w:r>
      <w:r w:rsidR="00232D20">
        <w:t>their</w:t>
      </w:r>
      <w:r>
        <w:t xml:space="preserve"> deliberations in any other way thought appropriate.</w:t>
      </w:r>
    </w:p>
    <w:p w14:paraId="27FCB5D7" w14:textId="77777777" w:rsidR="006F1501" w:rsidRDefault="006F1501" w:rsidP="006F1501">
      <w:pPr>
        <w:pStyle w:val="IndentPara"/>
      </w:pPr>
    </w:p>
    <w:p w14:paraId="28787542" w14:textId="4FF6662E" w:rsidR="006F1501" w:rsidRDefault="006F1501" w:rsidP="006F1501">
      <w:pPr>
        <w:pStyle w:val="IndentPara"/>
      </w:pPr>
      <w:r>
        <w:t>Regards</w:t>
      </w:r>
    </w:p>
    <w:p w14:paraId="30372E42" w14:textId="77777777" w:rsidR="006F1501" w:rsidRDefault="006F1501" w:rsidP="006F1501">
      <w:pPr>
        <w:pStyle w:val="IndentPara"/>
      </w:pPr>
    </w:p>
    <w:p w14:paraId="3ABAC223" w14:textId="77777777" w:rsidR="006F1501" w:rsidRDefault="006F1501" w:rsidP="006F1501">
      <w:pPr>
        <w:pStyle w:val="IndentPara"/>
      </w:pPr>
    </w:p>
    <w:p w14:paraId="29B680DF" w14:textId="77777777" w:rsidR="006F1501" w:rsidRDefault="006F1501" w:rsidP="006F1501">
      <w:pPr>
        <w:pStyle w:val="IndentPara"/>
      </w:pPr>
    </w:p>
    <w:p w14:paraId="597AC1C7" w14:textId="31ED1886" w:rsidR="006F1501" w:rsidRDefault="006F1501" w:rsidP="006F1501">
      <w:pPr>
        <w:pStyle w:val="IndentPara"/>
      </w:pPr>
      <w:r>
        <w:t>Neil Foster</w:t>
      </w:r>
    </w:p>
    <w:p w14:paraId="5568D62B" w14:textId="7B403C8B" w:rsidR="006F1501" w:rsidRDefault="006F1501" w:rsidP="006F1501">
      <w:pPr>
        <w:pStyle w:val="IndentPara"/>
      </w:pPr>
      <w:r>
        <w:t>Associate Professor in Law</w:t>
      </w:r>
    </w:p>
    <w:p w14:paraId="6FD28B8B" w14:textId="77777777" w:rsidR="006F1501" w:rsidRDefault="006F1501" w:rsidP="006F1501">
      <w:pPr>
        <w:pStyle w:val="IndentPara"/>
      </w:pPr>
    </w:p>
    <w:p w14:paraId="6A5F93CF" w14:textId="77777777" w:rsidR="006F1501" w:rsidRPr="006F1501" w:rsidRDefault="006F1501" w:rsidP="006F1501">
      <w:pPr>
        <w:pStyle w:val="IndentPara"/>
      </w:pPr>
    </w:p>
    <w:sectPr w:rsidR="006F1501" w:rsidRPr="006F1501" w:rsidSect="00594A57">
      <w:headerReference w:type="default" r:id="rId8"/>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DE83FF" w14:textId="77777777" w:rsidR="00D94763" w:rsidRDefault="00D94763" w:rsidP="00B91EF4">
      <w:r>
        <w:separator/>
      </w:r>
    </w:p>
  </w:endnote>
  <w:endnote w:type="continuationSeparator" w:id="0">
    <w:p w14:paraId="4E0DEC4F" w14:textId="77777777" w:rsidR="00D94763" w:rsidRDefault="00D94763" w:rsidP="00B91E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altName w:val="Titling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871F3" w14:textId="060A5647" w:rsidR="0020392F" w:rsidRPr="0020392F" w:rsidRDefault="0020392F">
    <w:pPr>
      <w:pStyle w:val="Footer"/>
      <w:rPr>
        <w:rFonts w:ascii="Times New Roman" w:hAnsi="Times New Roman" w:cs="Times New Roman"/>
        <w:sz w:val="20"/>
        <w:szCs w:val="20"/>
      </w:rPr>
    </w:pPr>
    <w:r w:rsidRPr="0020392F">
      <w:rPr>
        <w:rFonts w:ascii="Times New Roman" w:hAnsi="Times New Roman" w:cs="Times New Roman"/>
        <w:sz w:val="20"/>
        <w:szCs w:val="20"/>
      </w:rPr>
      <w:t>Associate Professor Neil Foster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156CB6" w14:textId="77777777" w:rsidR="00D94763" w:rsidRDefault="00D94763" w:rsidP="00B91EF4">
      <w:r>
        <w:separator/>
      </w:r>
    </w:p>
  </w:footnote>
  <w:footnote w:type="continuationSeparator" w:id="0">
    <w:p w14:paraId="35BB0BD6" w14:textId="77777777" w:rsidR="00D94763" w:rsidRDefault="00D94763" w:rsidP="00B91EF4">
      <w:r>
        <w:continuationSeparator/>
      </w:r>
    </w:p>
  </w:footnote>
  <w:footnote w:id="1">
    <w:p w14:paraId="37428AD9" w14:textId="1204EE32" w:rsidR="00445FEB" w:rsidRDefault="00445FEB">
      <w:pPr>
        <w:pStyle w:val="FootnoteText"/>
      </w:pPr>
      <w:r>
        <w:rPr>
          <w:rStyle w:val="FootnoteReference"/>
        </w:rPr>
        <w:footnoteRef/>
      </w:r>
      <w:r>
        <w:t xml:space="preserve"> See “Law and Religion Australia”, </w:t>
      </w:r>
      <w:hyperlink r:id="rId1" w:history="1">
        <w:r w:rsidRPr="00D543D8">
          <w:rPr>
            <w:rStyle w:val="Hyperlink"/>
          </w:rPr>
          <w:t>https://lawandreligionaustralia.blog</w:t>
        </w:r>
      </w:hyperlink>
      <w:r>
        <w:t xml:space="preserve"> .</w:t>
      </w:r>
    </w:p>
  </w:footnote>
  <w:footnote w:id="2">
    <w:p w14:paraId="6BE19A37" w14:textId="7159A564" w:rsidR="00727752" w:rsidRPr="00727752" w:rsidRDefault="00727752">
      <w:pPr>
        <w:pStyle w:val="FootnoteText"/>
        <w:rPr>
          <w:lang w:val="en-AU"/>
        </w:rPr>
      </w:pPr>
      <w:r>
        <w:rPr>
          <w:rStyle w:val="FootnoteReference"/>
        </w:rPr>
        <w:footnoteRef/>
      </w:r>
      <w:r>
        <w:t xml:space="preserve"> </w:t>
      </w:r>
      <w:r>
        <w:rPr>
          <w:lang w:val="en-AU"/>
        </w:rPr>
        <w:t>My submission is made, of course, in my private capacity and not on behalf of my University or Law School.</w:t>
      </w:r>
    </w:p>
  </w:footnote>
  <w:footnote w:id="3">
    <w:p w14:paraId="36CB5915" w14:textId="4F3A766F" w:rsidR="00445FEB" w:rsidRDefault="00445FEB">
      <w:pPr>
        <w:pStyle w:val="FootnoteText"/>
      </w:pPr>
      <w:r>
        <w:rPr>
          <w:rStyle w:val="FootnoteReference"/>
        </w:rPr>
        <w:footnoteRef/>
      </w:r>
      <w:r>
        <w:t xml:space="preserve"> See </w:t>
      </w:r>
      <w:r w:rsidR="004F6082">
        <w:t xml:space="preserve">N Foster </w:t>
      </w:r>
      <w:r w:rsidR="004F6082">
        <w:rPr>
          <w:bCs/>
          <w:iCs/>
          <w:sz w:val="22"/>
          <w:szCs w:val="22"/>
          <w:lang w:eastAsia="ja-JP"/>
        </w:rPr>
        <w:t>“</w:t>
      </w:r>
      <w:r w:rsidR="004F6082" w:rsidRPr="00642862">
        <w:rPr>
          <w:bCs/>
          <w:iCs/>
          <w:sz w:val="22"/>
          <w:szCs w:val="22"/>
          <w:lang w:eastAsia="ja-JP"/>
        </w:rPr>
        <w:t>Freedom of Religion and Balancing Clauses in Discrimination Legislation</w:t>
      </w:r>
      <w:r w:rsidR="004F6082">
        <w:rPr>
          <w:bCs/>
          <w:iCs/>
          <w:sz w:val="22"/>
          <w:szCs w:val="22"/>
          <w:lang w:eastAsia="ja-JP"/>
        </w:rPr>
        <w:t>” (2016)</w:t>
      </w:r>
      <w:r w:rsidR="004F6082" w:rsidRPr="00642862">
        <w:rPr>
          <w:bCs/>
          <w:iCs/>
          <w:sz w:val="22"/>
          <w:szCs w:val="22"/>
          <w:lang w:eastAsia="ja-JP"/>
        </w:rPr>
        <w:t xml:space="preserve"> </w:t>
      </w:r>
      <w:r w:rsidR="004F6082">
        <w:rPr>
          <w:bCs/>
          <w:iCs/>
          <w:sz w:val="22"/>
          <w:szCs w:val="22"/>
          <w:lang w:eastAsia="ja-JP"/>
        </w:rPr>
        <w:t xml:space="preserve">5 </w:t>
      </w:r>
      <w:r w:rsidR="004F6082" w:rsidRPr="00642862">
        <w:rPr>
          <w:bCs/>
          <w:i/>
          <w:sz w:val="22"/>
          <w:szCs w:val="22"/>
          <w:lang w:eastAsia="ja-JP"/>
        </w:rPr>
        <w:t>Oxford Journal of Law and Religion</w:t>
      </w:r>
      <w:r w:rsidR="004F6082">
        <w:rPr>
          <w:bCs/>
          <w:i/>
          <w:sz w:val="22"/>
          <w:szCs w:val="22"/>
          <w:lang w:eastAsia="ja-JP"/>
        </w:rPr>
        <w:t xml:space="preserve"> </w:t>
      </w:r>
      <w:r w:rsidR="004F6082">
        <w:rPr>
          <w:bCs/>
          <w:sz w:val="22"/>
          <w:szCs w:val="22"/>
          <w:lang w:eastAsia="ja-JP"/>
        </w:rPr>
        <w:t xml:space="preserve">385-430, available through a link at </w:t>
      </w:r>
      <w:hyperlink r:id="rId2" w:history="1">
        <w:r w:rsidR="004F6082" w:rsidRPr="00D543D8">
          <w:rPr>
            <w:rStyle w:val="Hyperlink"/>
            <w:bCs/>
            <w:sz w:val="22"/>
            <w:szCs w:val="22"/>
            <w:lang w:eastAsia="ja-JP"/>
          </w:rPr>
          <w:t>https://works.bepress.com/neil_foster/108/</w:t>
        </w:r>
      </w:hyperlink>
      <w:r w:rsidR="004F6082">
        <w:rPr>
          <w:bCs/>
          <w:sz w:val="22"/>
          <w:szCs w:val="22"/>
          <w:lang w:eastAsia="ja-JP"/>
        </w:rPr>
        <w:t xml:space="preserve"> .</w:t>
      </w:r>
    </w:p>
  </w:footnote>
  <w:footnote w:id="4">
    <w:p w14:paraId="0A5C31ED" w14:textId="2FF04F25" w:rsidR="00232D20" w:rsidRPr="00232D20" w:rsidRDefault="00232D20" w:rsidP="00232D20">
      <w:pPr>
        <w:pStyle w:val="FootnoteText"/>
        <w:rPr>
          <w:lang w:val="en-AU"/>
        </w:rPr>
      </w:pPr>
      <w:r>
        <w:rPr>
          <w:rStyle w:val="FootnoteReference"/>
        </w:rPr>
        <w:footnoteRef/>
      </w:r>
      <w:r>
        <w:t xml:space="preserve"> </w:t>
      </w:r>
      <w:r>
        <w:rPr>
          <w:lang w:val="en-AU"/>
        </w:rPr>
        <w:t>To be presented at a conference entitled “</w:t>
      </w:r>
      <w:r w:rsidRPr="00232D20">
        <w:rPr>
          <w:lang w:val="en-AU"/>
        </w:rPr>
        <w:t>Freedom of Religion or Belief: Creating the</w:t>
      </w:r>
      <w:r>
        <w:rPr>
          <w:lang w:val="en-AU"/>
        </w:rPr>
        <w:t xml:space="preserve"> </w:t>
      </w:r>
      <w:r w:rsidRPr="00232D20">
        <w:rPr>
          <w:lang w:val="en-AU"/>
        </w:rPr>
        <w:t>constitutional space</w:t>
      </w:r>
      <w:r>
        <w:rPr>
          <w:lang w:val="en-AU"/>
        </w:rPr>
        <w:t xml:space="preserve"> for other fundamental freedoms”, jointly sponsored by the</w:t>
      </w:r>
      <w:r w:rsidRPr="00232D20">
        <w:rPr>
          <w:lang w:val="en-AU"/>
        </w:rPr>
        <w:t xml:space="preserve"> Research Unit of the Study of Society, Law and Religion at the University of Adelaide Law</w:t>
      </w:r>
      <w:r>
        <w:rPr>
          <w:lang w:val="en-AU"/>
        </w:rPr>
        <w:t xml:space="preserve"> </w:t>
      </w:r>
      <w:r w:rsidRPr="00232D20">
        <w:rPr>
          <w:lang w:val="en-AU"/>
        </w:rPr>
        <w:t xml:space="preserve">School, the University of Notre Dame Law School, Sydney campus, and the International </w:t>
      </w:r>
      <w:proofErr w:type="spellStart"/>
      <w:r w:rsidRPr="00232D20">
        <w:rPr>
          <w:lang w:val="en-AU"/>
        </w:rPr>
        <w:t>Center</w:t>
      </w:r>
      <w:proofErr w:type="spellEnd"/>
      <w:r w:rsidRPr="00232D20">
        <w:rPr>
          <w:lang w:val="en-AU"/>
        </w:rPr>
        <w:t xml:space="preserve"> for Law and</w:t>
      </w:r>
      <w:r>
        <w:rPr>
          <w:lang w:val="en-AU"/>
        </w:rPr>
        <w:t xml:space="preserve"> </w:t>
      </w:r>
      <w:r w:rsidRPr="00232D20">
        <w:rPr>
          <w:lang w:val="en-AU"/>
        </w:rPr>
        <w:t>Religion Studies at the J Reuben Clark Law School at B</w:t>
      </w:r>
      <w:r>
        <w:rPr>
          <w:lang w:val="en-AU"/>
        </w:rPr>
        <w:t xml:space="preserve">righam </w:t>
      </w:r>
      <w:r w:rsidRPr="00232D20">
        <w:rPr>
          <w:lang w:val="en-AU"/>
        </w:rPr>
        <w:t>Y</w:t>
      </w:r>
      <w:r>
        <w:rPr>
          <w:lang w:val="en-AU"/>
        </w:rPr>
        <w:t xml:space="preserve">oung </w:t>
      </w:r>
      <w:proofErr w:type="spellStart"/>
      <w:r w:rsidRPr="00232D20">
        <w:rPr>
          <w:lang w:val="en-AU"/>
        </w:rPr>
        <w:t>U</w:t>
      </w:r>
      <w:r>
        <w:rPr>
          <w:lang w:val="en-AU"/>
        </w:rPr>
        <w:t>university</w:t>
      </w:r>
      <w:proofErr w:type="spellEnd"/>
      <w:r>
        <w:rPr>
          <w:lang w:val="en-AU"/>
        </w:rPr>
        <w:t xml:space="preserve">, Utah, and to be held in Sydney and Adelaide from </w:t>
      </w:r>
      <w:r w:rsidRPr="00232D20">
        <w:rPr>
          <w:lang w:val="en-AU"/>
        </w:rPr>
        <w:t>14th - 16th February 2018</w:t>
      </w:r>
      <w:r>
        <w:rPr>
          <w:lang w:val="en-AU"/>
        </w:rPr>
        <w:t>.</w:t>
      </w:r>
    </w:p>
  </w:footnote>
  <w:footnote w:id="5">
    <w:p w14:paraId="6D240992" w14:textId="3C0830F0" w:rsidR="005577E6" w:rsidRDefault="005577E6">
      <w:pPr>
        <w:pStyle w:val="FootnoteText"/>
      </w:pPr>
      <w:r>
        <w:rPr>
          <w:rStyle w:val="FootnoteReference"/>
        </w:rPr>
        <w:footnoteRef/>
      </w:r>
      <w:r>
        <w:t xml:space="preserve"> See, </w:t>
      </w:r>
      <w:proofErr w:type="spellStart"/>
      <w:r>
        <w:t>eg</w:t>
      </w:r>
      <w:proofErr w:type="spellEnd"/>
      <w:r>
        <w:t xml:space="preserve">, </w:t>
      </w:r>
      <w:r w:rsidRPr="005577E6">
        <w:t>Patrick</w:t>
      </w:r>
      <w:r>
        <w:t xml:space="preserve"> Parkinson, “</w:t>
      </w:r>
      <w:r w:rsidRPr="005577E6">
        <w:t>Christian Concerns with the Charter of Rights</w:t>
      </w:r>
      <w:r>
        <w:t>” (August 31, 2009),</w:t>
      </w:r>
      <w:r w:rsidRPr="005577E6">
        <w:t xml:space="preserve"> Sydney Law </w:t>
      </w:r>
      <w:r>
        <w:t>School Research Paper No. 09/72; a</w:t>
      </w:r>
      <w:r w:rsidRPr="005577E6">
        <w:t xml:space="preserve">vailable at SSRN: </w:t>
      </w:r>
      <w:hyperlink r:id="rId3" w:history="1">
        <w:r w:rsidRPr="005577E6">
          <w:rPr>
            <w:rStyle w:val="Hyperlink"/>
          </w:rPr>
          <w:t>https://ssrn.com/abstract=1465125</w:t>
        </w:r>
      </w:hyperlink>
      <w:r>
        <w:t>.</w:t>
      </w:r>
    </w:p>
  </w:footnote>
  <w:footnote w:id="6">
    <w:p w14:paraId="27300203" w14:textId="41A735E6" w:rsidR="004C3778" w:rsidRPr="004C3778" w:rsidRDefault="004C3778">
      <w:pPr>
        <w:pStyle w:val="FootnoteText"/>
        <w:rPr>
          <w:lang w:val="en-AU"/>
        </w:rPr>
      </w:pPr>
      <w:r>
        <w:rPr>
          <w:rStyle w:val="FootnoteReference"/>
        </w:rPr>
        <w:footnoteRef/>
      </w:r>
      <w:r>
        <w:t xml:space="preserve"> </w:t>
      </w:r>
      <w:r>
        <w:rPr>
          <w:i/>
          <w:lang w:val="en-AU"/>
        </w:rPr>
        <w:t>Protecting Diversity: Towards a Better Legal Framework for Religious Freedom in Australia</w:t>
      </w:r>
      <w:r>
        <w:rPr>
          <w:lang w:val="en-AU"/>
        </w:rPr>
        <w:t xml:space="preserve"> (Jan 2018).</w:t>
      </w:r>
    </w:p>
  </w:footnote>
  <w:footnote w:id="7">
    <w:p w14:paraId="2EC0C4DC" w14:textId="6241F769" w:rsidR="005D1822" w:rsidRPr="005D1822" w:rsidRDefault="005D1822">
      <w:pPr>
        <w:pStyle w:val="FootnoteText"/>
        <w:rPr>
          <w:lang w:val="en-AU"/>
        </w:rPr>
      </w:pPr>
      <w:r>
        <w:rPr>
          <w:rStyle w:val="FootnoteReference"/>
        </w:rPr>
        <w:footnoteRef/>
      </w:r>
      <w:r>
        <w:t xml:space="preserve"> </w:t>
      </w:r>
      <w:r>
        <w:rPr>
          <w:lang w:val="en-AU"/>
        </w:rPr>
        <w:t xml:space="preserve">See, </w:t>
      </w:r>
      <w:proofErr w:type="spellStart"/>
      <w:r>
        <w:rPr>
          <w:lang w:val="en-AU"/>
        </w:rPr>
        <w:t>eg</w:t>
      </w:r>
      <w:proofErr w:type="spellEnd"/>
      <w:r>
        <w:rPr>
          <w:lang w:val="en-AU"/>
        </w:rPr>
        <w:t xml:space="preserve">, the </w:t>
      </w:r>
      <w:r>
        <w:rPr>
          <w:i/>
          <w:lang w:val="en-AU"/>
        </w:rPr>
        <w:t>Disability Discrimination Act</w:t>
      </w:r>
      <w:r>
        <w:rPr>
          <w:lang w:val="en-AU"/>
        </w:rPr>
        <w:t xml:space="preserve"> 1992 (</w:t>
      </w:r>
      <w:proofErr w:type="spellStart"/>
      <w:r>
        <w:rPr>
          <w:lang w:val="en-AU"/>
        </w:rPr>
        <w:t>Cth</w:t>
      </w:r>
      <w:proofErr w:type="spellEnd"/>
      <w:r>
        <w:rPr>
          <w:lang w:val="en-AU"/>
        </w:rPr>
        <w:t>) s 5(2) requiring “reasonable adjustments”.</w:t>
      </w:r>
    </w:p>
  </w:footnote>
  <w:footnote w:id="8">
    <w:p w14:paraId="1EA849DC" w14:textId="538A94CC" w:rsidR="004C3778" w:rsidRPr="004C3778" w:rsidRDefault="004C3778">
      <w:pPr>
        <w:pStyle w:val="FootnoteText"/>
        <w:rPr>
          <w:lang w:val="en-AU"/>
        </w:rPr>
      </w:pPr>
      <w:r>
        <w:rPr>
          <w:rStyle w:val="FootnoteReference"/>
        </w:rPr>
        <w:footnoteRef/>
      </w:r>
      <w:r>
        <w:t xml:space="preserve"> </w:t>
      </w:r>
      <w:r>
        <w:rPr>
          <w:lang w:val="en-AU"/>
        </w:rPr>
        <w:t xml:space="preserve">See p 94 of that submission, above n </w:t>
      </w:r>
      <w:r>
        <w:rPr>
          <w:lang w:val="en-AU"/>
        </w:rPr>
        <w:fldChar w:fldCharType="begin"/>
      </w:r>
      <w:r>
        <w:rPr>
          <w:lang w:val="en-AU"/>
        </w:rPr>
        <w:instrText xml:space="preserve"> NOTEREF _Ref505170776 \h </w:instrText>
      </w:r>
      <w:r>
        <w:rPr>
          <w:lang w:val="en-AU"/>
        </w:rPr>
      </w:r>
      <w:r>
        <w:rPr>
          <w:lang w:val="en-AU"/>
        </w:rPr>
        <w:fldChar w:fldCharType="separate"/>
      </w:r>
      <w:r>
        <w:rPr>
          <w:lang w:val="en-AU"/>
        </w:rPr>
        <w:t>6</w:t>
      </w:r>
      <w:r>
        <w:rPr>
          <w:lang w:val="en-AU"/>
        </w:rPr>
        <w:fldChar w:fldCharType="end"/>
      </w:r>
      <w:r>
        <w:rPr>
          <w:lang w:val="en-AU"/>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72AA96" w14:textId="516E53F7" w:rsidR="0020392F" w:rsidRPr="0020392F" w:rsidRDefault="0020392F">
    <w:pPr>
      <w:pStyle w:val="Header"/>
      <w:rPr>
        <w:rFonts w:ascii="Times New Roman" w:hAnsi="Times New Roman" w:cs="Times New Roman"/>
        <w:sz w:val="20"/>
        <w:szCs w:val="20"/>
      </w:rPr>
    </w:pPr>
    <w:r w:rsidRPr="0020392F">
      <w:rPr>
        <w:rFonts w:ascii="Times New Roman" w:hAnsi="Times New Roman" w:cs="Times New Roman"/>
        <w:sz w:val="20"/>
        <w:szCs w:val="20"/>
      </w:rPr>
      <w:t xml:space="preserve">Submission </w:t>
    </w:r>
    <w:r w:rsidR="00445FEB">
      <w:rPr>
        <w:rFonts w:ascii="Times New Roman" w:hAnsi="Times New Roman" w:cs="Times New Roman"/>
        <w:sz w:val="20"/>
        <w:szCs w:val="20"/>
      </w:rPr>
      <w:t>to</w:t>
    </w:r>
    <w:r w:rsidRPr="0020392F">
      <w:rPr>
        <w:rFonts w:ascii="Times New Roman" w:hAnsi="Times New Roman" w:cs="Times New Roman"/>
        <w:sz w:val="20"/>
        <w:szCs w:val="20"/>
      </w:rPr>
      <w:t xml:space="preserve"> </w:t>
    </w:r>
    <w:r w:rsidR="00AB309A">
      <w:rPr>
        <w:rFonts w:ascii="Times New Roman" w:hAnsi="Times New Roman" w:cs="Times New Roman"/>
        <w:bCs/>
        <w:sz w:val="20"/>
        <w:szCs w:val="20"/>
      </w:rPr>
      <w:t>Religious Freedom Review</w:t>
    </w:r>
    <w:r w:rsidR="00AB309A">
      <w:rPr>
        <w:rFonts w:ascii="Times New Roman" w:hAnsi="Times New Roman" w:cs="Times New Roman"/>
        <w:bCs/>
        <w:sz w:val="20"/>
        <w:szCs w:val="20"/>
      </w:rPr>
      <w:tab/>
    </w:r>
    <w:r>
      <w:rPr>
        <w:rFonts w:ascii="Times New Roman" w:hAnsi="Times New Roman" w:cs="Times New Roman"/>
        <w:sz w:val="20"/>
        <w:szCs w:val="20"/>
      </w:rPr>
      <w:tab/>
    </w:r>
    <w:r w:rsidRPr="0020392F">
      <w:rPr>
        <w:rStyle w:val="PageNumber"/>
        <w:rFonts w:ascii="Times New Roman" w:hAnsi="Times New Roman" w:cs="Times New Roman"/>
        <w:sz w:val="20"/>
        <w:szCs w:val="20"/>
      </w:rPr>
      <w:fldChar w:fldCharType="begin"/>
    </w:r>
    <w:r w:rsidRPr="0020392F">
      <w:rPr>
        <w:rStyle w:val="PageNumber"/>
        <w:rFonts w:ascii="Times New Roman" w:hAnsi="Times New Roman" w:cs="Times New Roman"/>
        <w:sz w:val="20"/>
        <w:szCs w:val="20"/>
      </w:rPr>
      <w:instrText xml:space="preserve"> PAGE </w:instrText>
    </w:r>
    <w:r w:rsidRPr="0020392F">
      <w:rPr>
        <w:rStyle w:val="PageNumber"/>
        <w:rFonts w:ascii="Times New Roman" w:hAnsi="Times New Roman" w:cs="Times New Roman"/>
        <w:sz w:val="20"/>
        <w:szCs w:val="20"/>
      </w:rPr>
      <w:fldChar w:fldCharType="separate"/>
    </w:r>
    <w:r w:rsidR="005577E6">
      <w:rPr>
        <w:rStyle w:val="PageNumber"/>
        <w:rFonts w:ascii="Times New Roman" w:hAnsi="Times New Roman" w:cs="Times New Roman"/>
        <w:noProof/>
        <w:sz w:val="20"/>
        <w:szCs w:val="20"/>
      </w:rPr>
      <w:t>1</w:t>
    </w:r>
    <w:r w:rsidRPr="0020392F">
      <w:rPr>
        <w:rStyle w:val="PageNumber"/>
        <w:rFonts w:ascii="Times New Roman" w:hAnsi="Times New Roman" w:cs="Times New Roman"/>
        <w:sz w:val="20"/>
        <w:szCs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1CE0151"/>
    <w:multiLevelType w:val="hybridMultilevel"/>
    <w:tmpl w:val="3FDC2E2C"/>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3" w15:restartNumberingAfterBreak="0">
    <w:nsid w:val="22332641"/>
    <w:multiLevelType w:val="hybridMultilevel"/>
    <w:tmpl w:val="8D5C6DA8"/>
    <w:lvl w:ilvl="0" w:tplc="0409000F">
      <w:start w:val="1"/>
      <w:numFmt w:val="decimal"/>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4" w15:restartNumberingAfterBreak="0">
    <w:nsid w:val="232A41DB"/>
    <w:multiLevelType w:val="multilevel"/>
    <w:tmpl w:val="77965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C66556"/>
    <w:multiLevelType w:val="hybridMultilevel"/>
    <w:tmpl w:val="A11073F4"/>
    <w:lvl w:ilvl="0" w:tplc="0C09000F">
      <w:start w:val="1"/>
      <w:numFmt w:val="decimal"/>
      <w:lvlText w:val="%1."/>
      <w:lvlJc w:val="left"/>
      <w:pPr>
        <w:ind w:left="2160" w:hanging="360"/>
      </w:p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6" w15:restartNumberingAfterBreak="0">
    <w:nsid w:val="65176DA0"/>
    <w:multiLevelType w:val="hybridMultilevel"/>
    <w:tmpl w:val="0304F082"/>
    <w:lvl w:ilvl="0" w:tplc="634A9BCA">
      <w:start w:val="1"/>
      <w:numFmt w:val="lowerLetter"/>
      <w:lvlText w:val="(%1)"/>
      <w:lvlJc w:val="left"/>
      <w:pPr>
        <w:ind w:left="980" w:hanging="6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1C39F0"/>
    <w:multiLevelType w:val="multilevel"/>
    <w:tmpl w:val="BA8C3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BA14AB5"/>
    <w:multiLevelType w:val="multilevel"/>
    <w:tmpl w:val="733EA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1"/>
  </w:num>
  <w:num w:numId="4">
    <w:abstractNumId w:val="4"/>
  </w:num>
  <w:num w:numId="5">
    <w:abstractNumId w:val="8"/>
  </w:num>
  <w:num w:numId="6">
    <w:abstractNumId w:val="2"/>
  </w:num>
  <w:num w:numId="7">
    <w:abstractNumId w:val="3"/>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51"/>
    <w:rsid w:val="00044229"/>
    <w:rsid w:val="00056C97"/>
    <w:rsid w:val="00083738"/>
    <w:rsid w:val="000C0D19"/>
    <w:rsid w:val="001466D7"/>
    <w:rsid w:val="00162473"/>
    <w:rsid w:val="00190096"/>
    <w:rsid w:val="001B72D9"/>
    <w:rsid w:val="001D2FD7"/>
    <w:rsid w:val="0020392F"/>
    <w:rsid w:val="00232D20"/>
    <w:rsid w:val="002476AC"/>
    <w:rsid w:val="002E343B"/>
    <w:rsid w:val="003044E6"/>
    <w:rsid w:val="003C1272"/>
    <w:rsid w:val="00413D3C"/>
    <w:rsid w:val="004416D3"/>
    <w:rsid w:val="00445FEB"/>
    <w:rsid w:val="004633B4"/>
    <w:rsid w:val="004C3778"/>
    <w:rsid w:val="004C4131"/>
    <w:rsid w:val="004C63B5"/>
    <w:rsid w:val="004F6082"/>
    <w:rsid w:val="005577E6"/>
    <w:rsid w:val="00562B8D"/>
    <w:rsid w:val="00594A57"/>
    <w:rsid w:val="005D1822"/>
    <w:rsid w:val="00630114"/>
    <w:rsid w:val="00683D63"/>
    <w:rsid w:val="006F1501"/>
    <w:rsid w:val="00727752"/>
    <w:rsid w:val="007A2B00"/>
    <w:rsid w:val="007E06BD"/>
    <w:rsid w:val="008167D5"/>
    <w:rsid w:val="00873E9B"/>
    <w:rsid w:val="00954069"/>
    <w:rsid w:val="00981F95"/>
    <w:rsid w:val="009C6CB5"/>
    <w:rsid w:val="009D3123"/>
    <w:rsid w:val="00A00F53"/>
    <w:rsid w:val="00A13075"/>
    <w:rsid w:val="00A20F33"/>
    <w:rsid w:val="00A50C02"/>
    <w:rsid w:val="00A6466F"/>
    <w:rsid w:val="00AB309A"/>
    <w:rsid w:val="00AC0D9C"/>
    <w:rsid w:val="00B91EF4"/>
    <w:rsid w:val="00BB7302"/>
    <w:rsid w:val="00C07B85"/>
    <w:rsid w:val="00C11CEE"/>
    <w:rsid w:val="00C1748D"/>
    <w:rsid w:val="00C3114A"/>
    <w:rsid w:val="00CB4707"/>
    <w:rsid w:val="00D53F7C"/>
    <w:rsid w:val="00D616E0"/>
    <w:rsid w:val="00D94763"/>
    <w:rsid w:val="00DA31B7"/>
    <w:rsid w:val="00DB2272"/>
    <w:rsid w:val="00E848C7"/>
    <w:rsid w:val="00EA6472"/>
    <w:rsid w:val="00EF6081"/>
    <w:rsid w:val="00F01AAB"/>
    <w:rsid w:val="00F42FA0"/>
    <w:rsid w:val="00F53551"/>
    <w:rsid w:val="00F64C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0A1EB2"/>
  <w14:defaultImageDpi w14:val="32767"/>
  <w15:docId w15:val="{CA0B08BD-9789-5C4E-AA9E-920801D0D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312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D3123"/>
    <w:pPr>
      <w:keepNext/>
      <w:keepLines/>
      <w:spacing w:before="40"/>
      <w:outlineLvl w:val="1"/>
    </w:pPr>
    <w:rPr>
      <w:rFonts w:ascii="Times New Roman" w:eastAsiaTheme="majorEastAsia" w:hAnsi="Times New Roman" w:cstheme="majorBidi"/>
      <w:color w:val="000000" w:themeColor="text1"/>
      <w:sz w:val="26"/>
      <w:szCs w:val="26"/>
    </w:rPr>
  </w:style>
  <w:style w:type="paragraph" w:styleId="Heading3">
    <w:name w:val="heading 3"/>
    <w:basedOn w:val="Normal"/>
    <w:next w:val="Normal"/>
    <w:link w:val="Heading3Char"/>
    <w:uiPriority w:val="9"/>
    <w:unhideWhenUsed/>
    <w:qFormat/>
    <w:rsid w:val="00A6466F"/>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F42FA0"/>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F42FA0"/>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1 Char,Footnote Text Char Char Char,Footnote Text Char Char Char Char Char Char Char Char Char Char Char,Footnote Text Char Char Char Char Char Char Char Char,Footnote Text Char2 Char,Char,FA Fu,single space Char"/>
    <w:basedOn w:val="Normal"/>
    <w:link w:val="FootnoteTextChar"/>
    <w:uiPriority w:val="99"/>
    <w:unhideWhenUsed/>
    <w:qFormat/>
    <w:rsid w:val="00B91EF4"/>
    <w:rPr>
      <w:rFonts w:ascii="Times New Roman" w:hAnsi="Times New Roman"/>
      <w:sz w:val="20"/>
    </w:rPr>
  </w:style>
  <w:style w:type="character" w:customStyle="1" w:styleId="FootnoteTextChar">
    <w:name w:val="Footnote Text Char"/>
    <w:aliases w:val="Footnote Text Char1 Char Char,Footnote Text Char Char Char Char,Footnote Text Char Char Char Char Char Char Char Char Char Char Char Char,Footnote Text Char Char Char Char Char Char Char Char Char,Footnote Text Char2 Char Char"/>
    <w:basedOn w:val="DefaultParagraphFont"/>
    <w:link w:val="FootnoteText"/>
    <w:uiPriority w:val="99"/>
    <w:rsid w:val="00B91EF4"/>
    <w:rPr>
      <w:rFonts w:ascii="Times New Roman" w:hAnsi="Times New Roman"/>
      <w:sz w:val="20"/>
    </w:rPr>
  </w:style>
  <w:style w:type="character" w:styleId="FootnoteReference">
    <w:name w:val="footnote reference"/>
    <w:aliases w:val="Footnotes refss"/>
    <w:basedOn w:val="DefaultParagraphFont"/>
    <w:uiPriority w:val="99"/>
    <w:unhideWhenUsed/>
    <w:rsid w:val="00B91EF4"/>
    <w:rPr>
      <w:vertAlign w:val="superscript"/>
    </w:rPr>
  </w:style>
  <w:style w:type="character" w:styleId="Hyperlink">
    <w:name w:val="Hyperlink"/>
    <w:basedOn w:val="DefaultParagraphFont"/>
    <w:uiPriority w:val="99"/>
    <w:unhideWhenUsed/>
    <w:rsid w:val="00B91EF4"/>
    <w:rPr>
      <w:color w:val="0563C1" w:themeColor="hyperlink"/>
      <w:u w:val="single"/>
    </w:rPr>
  </w:style>
  <w:style w:type="character" w:customStyle="1" w:styleId="Heading1Char">
    <w:name w:val="Heading 1 Char"/>
    <w:basedOn w:val="DefaultParagraphFont"/>
    <w:link w:val="Heading1"/>
    <w:uiPriority w:val="9"/>
    <w:rsid w:val="009D312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D3123"/>
    <w:rPr>
      <w:rFonts w:ascii="Times New Roman" w:eastAsiaTheme="majorEastAsia" w:hAnsi="Times New Roman" w:cstheme="majorBidi"/>
      <w:color w:val="000000" w:themeColor="text1"/>
      <w:sz w:val="26"/>
      <w:szCs w:val="26"/>
    </w:rPr>
  </w:style>
  <w:style w:type="character" w:customStyle="1" w:styleId="Heading3Char">
    <w:name w:val="Heading 3 Char"/>
    <w:basedOn w:val="DefaultParagraphFont"/>
    <w:link w:val="Heading3"/>
    <w:uiPriority w:val="9"/>
    <w:rsid w:val="00A6466F"/>
    <w:rPr>
      <w:rFonts w:asciiTheme="majorHAnsi" w:eastAsiaTheme="majorEastAsia" w:hAnsiTheme="majorHAnsi" w:cstheme="majorBidi"/>
      <w:color w:val="1F4D78" w:themeColor="accent1" w:themeShade="7F"/>
    </w:rPr>
  </w:style>
  <w:style w:type="paragraph" w:customStyle="1" w:styleId="IndentPara">
    <w:name w:val="Indent Para"/>
    <w:basedOn w:val="Normal"/>
    <w:qFormat/>
    <w:rsid w:val="001D2FD7"/>
    <w:pPr>
      <w:ind w:left="720" w:firstLine="414"/>
      <w:jc w:val="both"/>
    </w:pPr>
    <w:rPr>
      <w:rFonts w:ascii="Times New Roman" w:hAnsi="Times New Roman" w:cs="Times New Roman"/>
      <w:lang w:val="en-AU"/>
    </w:rPr>
  </w:style>
  <w:style w:type="character" w:customStyle="1" w:styleId="Heading4Char">
    <w:name w:val="Heading 4 Char"/>
    <w:basedOn w:val="DefaultParagraphFont"/>
    <w:link w:val="Heading4"/>
    <w:uiPriority w:val="9"/>
    <w:rsid w:val="00F42FA0"/>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F42FA0"/>
    <w:rPr>
      <w:rFonts w:asciiTheme="majorHAnsi" w:eastAsiaTheme="majorEastAsia" w:hAnsiTheme="majorHAnsi" w:cstheme="majorBidi"/>
      <w:color w:val="2E74B5" w:themeColor="accent1" w:themeShade="BF"/>
    </w:rPr>
  </w:style>
  <w:style w:type="paragraph" w:customStyle="1" w:styleId="Quotation">
    <w:name w:val="Quotation"/>
    <w:basedOn w:val="Normal"/>
    <w:qFormat/>
    <w:rsid w:val="00F42FA0"/>
    <w:pPr>
      <w:ind w:left="567"/>
    </w:pPr>
    <w:rPr>
      <w:rFonts w:ascii="Times New Roman" w:hAnsi="Times New Roman" w:cs="Times New Roman"/>
      <w:sz w:val="20"/>
      <w:szCs w:val="20"/>
    </w:rPr>
  </w:style>
  <w:style w:type="character" w:styleId="FollowedHyperlink">
    <w:name w:val="FollowedHyperlink"/>
    <w:basedOn w:val="DefaultParagraphFont"/>
    <w:uiPriority w:val="99"/>
    <w:semiHidden/>
    <w:unhideWhenUsed/>
    <w:rsid w:val="00A00F53"/>
    <w:rPr>
      <w:color w:val="954F72" w:themeColor="followedHyperlink"/>
      <w:u w:val="single"/>
    </w:rPr>
  </w:style>
  <w:style w:type="paragraph" w:styleId="NormalWeb">
    <w:name w:val="Normal (Web)"/>
    <w:basedOn w:val="Normal"/>
    <w:uiPriority w:val="99"/>
    <w:semiHidden/>
    <w:unhideWhenUsed/>
    <w:rsid w:val="00083738"/>
    <w:rPr>
      <w:rFonts w:ascii="Times New Roman" w:hAnsi="Times New Roman" w:cs="Times New Roman"/>
    </w:rPr>
  </w:style>
  <w:style w:type="paragraph" w:styleId="Header">
    <w:name w:val="header"/>
    <w:basedOn w:val="Normal"/>
    <w:link w:val="HeaderChar"/>
    <w:uiPriority w:val="99"/>
    <w:unhideWhenUsed/>
    <w:rsid w:val="0020392F"/>
    <w:pPr>
      <w:tabs>
        <w:tab w:val="center" w:pos="4320"/>
        <w:tab w:val="right" w:pos="8640"/>
      </w:tabs>
    </w:pPr>
  </w:style>
  <w:style w:type="character" w:customStyle="1" w:styleId="HeaderChar">
    <w:name w:val="Header Char"/>
    <w:basedOn w:val="DefaultParagraphFont"/>
    <w:link w:val="Header"/>
    <w:uiPriority w:val="99"/>
    <w:rsid w:val="0020392F"/>
  </w:style>
  <w:style w:type="paragraph" w:styleId="Footer">
    <w:name w:val="footer"/>
    <w:basedOn w:val="Normal"/>
    <w:link w:val="FooterChar"/>
    <w:uiPriority w:val="99"/>
    <w:unhideWhenUsed/>
    <w:rsid w:val="0020392F"/>
    <w:pPr>
      <w:tabs>
        <w:tab w:val="center" w:pos="4320"/>
        <w:tab w:val="right" w:pos="8640"/>
      </w:tabs>
    </w:pPr>
  </w:style>
  <w:style w:type="character" w:customStyle="1" w:styleId="FooterChar">
    <w:name w:val="Footer Char"/>
    <w:basedOn w:val="DefaultParagraphFont"/>
    <w:link w:val="Footer"/>
    <w:uiPriority w:val="99"/>
    <w:rsid w:val="0020392F"/>
  </w:style>
  <w:style w:type="character" w:styleId="PageNumber">
    <w:name w:val="page number"/>
    <w:basedOn w:val="DefaultParagraphFont"/>
    <w:uiPriority w:val="99"/>
    <w:semiHidden/>
    <w:unhideWhenUsed/>
    <w:rsid w:val="0020392F"/>
  </w:style>
  <w:style w:type="paragraph" w:customStyle="1" w:styleId="Indentpara0">
    <w:name w:val="Indent para"/>
    <w:basedOn w:val="ListParagraph"/>
    <w:qFormat/>
    <w:rsid w:val="00A50C02"/>
    <w:pPr>
      <w:ind w:firstLine="720"/>
      <w:jc w:val="both"/>
    </w:pPr>
    <w:rPr>
      <w:rFonts w:ascii="Times New Roman" w:eastAsiaTheme="minorEastAsia" w:hAnsi="Times New Roman"/>
      <w:lang w:val="en-AU"/>
    </w:rPr>
  </w:style>
  <w:style w:type="paragraph" w:styleId="ListParagraph">
    <w:name w:val="List Paragraph"/>
    <w:basedOn w:val="Normal"/>
    <w:uiPriority w:val="34"/>
    <w:qFormat/>
    <w:rsid w:val="00A50C02"/>
    <w:pPr>
      <w:ind w:left="720"/>
      <w:contextualSpacing/>
    </w:pPr>
  </w:style>
  <w:style w:type="character" w:styleId="UnresolvedMention">
    <w:name w:val="Unresolved Mention"/>
    <w:basedOn w:val="DefaultParagraphFont"/>
    <w:uiPriority w:val="99"/>
    <w:semiHidden/>
    <w:unhideWhenUsed/>
    <w:rsid w:val="00AB309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6380347">
      <w:bodyDiv w:val="1"/>
      <w:marLeft w:val="0"/>
      <w:marRight w:val="0"/>
      <w:marTop w:val="0"/>
      <w:marBottom w:val="0"/>
      <w:divBdr>
        <w:top w:val="none" w:sz="0" w:space="0" w:color="auto"/>
        <w:left w:val="none" w:sz="0" w:space="0" w:color="auto"/>
        <w:bottom w:val="none" w:sz="0" w:space="0" w:color="auto"/>
        <w:right w:val="none" w:sz="0" w:space="0" w:color="auto"/>
      </w:divBdr>
      <w:divsChild>
        <w:div w:id="5865298">
          <w:marLeft w:val="0"/>
          <w:marRight w:val="0"/>
          <w:marTop w:val="0"/>
          <w:marBottom w:val="0"/>
          <w:divBdr>
            <w:top w:val="none" w:sz="0" w:space="0" w:color="auto"/>
            <w:left w:val="none" w:sz="0" w:space="0" w:color="auto"/>
            <w:bottom w:val="none" w:sz="0" w:space="0" w:color="auto"/>
            <w:right w:val="none" w:sz="0" w:space="0" w:color="auto"/>
          </w:divBdr>
          <w:divsChild>
            <w:div w:id="1488982254">
              <w:marLeft w:val="0"/>
              <w:marRight w:val="0"/>
              <w:marTop w:val="0"/>
              <w:marBottom w:val="0"/>
              <w:divBdr>
                <w:top w:val="none" w:sz="0" w:space="0" w:color="auto"/>
                <w:left w:val="none" w:sz="0" w:space="0" w:color="auto"/>
                <w:bottom w:val="none" w:sz="0" w:space="0" w:color="auto"/>
                <w:right w:val="none" w:sz="0" w:space="0" w:color="auto"/>
              </w:divBdr>
              <w:divsChild>
                <w:div w:id="1930965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962518">
      <w:bodyDiv w:val="1"/>
      <w:marLeft w:val="0"/>
      <w:marRight w:val="0"/>
      <w:marTop w:val="0"/>
      <w:marBottom w:val="0"/>
      <w:divBdr>
        <w:top w:val="none" w:sz="0" w:space="0" w:color="auto"/>
        <w:left w:val="none" w:sz="0" w:space="0" w:color="auto"/>
        <w:bottom w:val="none" w:sz="0" w:space="0" w:color="auto"/>
        <w:right w:val="none" w:sz="0" w:space="0" w:color="auto"/>
      </w:divBdr>
    </w:div>
    <w:div w:id="385374757">
      <w:bodyDiv w:val="1"/>
      <w:marLeft w:val="0"/>
      <w:marRight w:val="0"/>
      <w:marTop w:val="0"/>
      <w:marBottom w:val="0"/>
      <w:divBdr>
        <w:top w:val="none" w:sz="0" w:space="0" w:color="auto"/>
        <w:left w:val="none" w:sz="0" w:space="0" w:color="auto"/>
        <w:bottom w:val="none" w:sz="0" w:space="0" w:color="auto"/>
        <w:right w:val="none" w:sz="0" w:space="0" w:color="auto"/>
      </w:divBdr>
      <w:divsChild>
        <w:div w:id="1811091471">
          <w:marLeft w:val="0"/>
          <w:marRight w:val="0"/>
          <w:marTop w:val="0"/>
          <w:marBottom w:val="0"/>
          <w:divBdr>
            <w:top w:val="none" w:sz="0" w:space="0" w:color="auto"/>
            <w:left w:val="none" w:sz="0" w:space="0" w:color="auto"/>
            <w:bottom w:val="none" w:sz="0" w:space="0" w:color="auto"/>
            <w:right w:val="none" w:sz="0" w:space="0" w:color="auto"/>
          </w:divBdr>
          <w:divsChild>
            <w:div w:id="2134595529">
              <w:marLeft w:val="0"/>
              <w:marRight w:val="0"/>
              <w:marTop w:val="0"/>
              <w:marBottom w:val="0"/>
              <w:divBdr>
                <w:top w:val="none" w:sz="0" w:space="0" w:color="auto"/>
                <w:left w:val="none" w:sz="0" w:space="0" w:color="auto"/>
                <w:bottom w:val="none" w:sz="0" w:space="0" w:color="auto"/>
                <w:right w:val="none" w:sz="0" w:space="0" w:color="auto"/>
              </w:divBdr>
              <w:divsChild>
                <w:div w:id="136015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249485">
      <w:bodyDiv w:val="1"/>
      <w:marLeft w:val="0"/>
      <w:marRight w:val="0"/>
      <w:marTop w:val="0"/>
      <w:marBottom w:val="0"/>
      <w:divBdr>
        <w:top w:val="none" w:sz="0" w:space="0" w:color="auto"/>
        <w:left w:val="none" w:sz="0" w:space="0" w:color="auto"/>
        <w:bottom w:val="none" w:sz="0" w:space="0" w:color="auto"/>
        <w:right w:val="none" w:sz="0" w:space="0" w:color="auto"/>
      </w:divBdr>
    </w:div>
    <w:div w:id="649754577">
      <w:bodyDiv w:val="1"/>
      <w:marLeft w:val="0"/>
      <w:marRight w:val="0"/>
      <w:marTop w:val="0"/>
      <w:marBottom w:val="0"/>
      <w:divBdr>
        <w:top w:val="none" w:sz="0" w:space="0" w:color="auto"/>
        <w:left w:val="none" w:sz="0" w:space="0" w:color="auto"/>
        <w:bottom w:val="none" w:sz="0" w:space="0" w:color="auto"/>
        <w:right w:val="none" w:sz="0" w:space="0" w:color="auto"/>
      </w:divBdr>
      <w:divsChild>
        <w:div w:id="1463036515">
          <w:marLeft w:val="0"/>
          <w:marRight w:val="0"/>
          <w:marTop w:val="0"/>
          <w:marBottom w:val="0"/>
          <w:divBdr>
            <w:top w:val="none" w:sz="0" w:space="0" w:color="auto"/>
            <w:left w:val="none" w:sz="0" w:space="0" w:color="auto"/>
            <w:bottom w:val="none" w:sz="0" w:space="0" w:color="auto"/>
            <w:right w:val="none" w:sz="0" w:space="0" w:color="auto"/>
          </w:divBdr>
          <w:divsChild>
            <w:div w:id="1115246500">
              <w:marLeft w:val="0"/>
              <w:marRight w:val="0"/>
              <w:marTop w:val="0"/>
              <w:marBottom w:val="0"/>
              <w:divBdr>
                <w:top w:val="none" w:sz="0" w:space="0" w:color="auto"/>
                <w:left w:val="none" w:sz="0" w:space="0" w:color="auto"/>
                <w:bottom w:val="none" w:sz="0" w:space="0" w:color="auto"/>
                <w:right w:val="none" w:sz="0" w:space="0" w:color="auto"/>
              </w:divBdr>
              <w:divsChild>
                <w:div w:id="173593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320146">
      <w:bodyDiv w:val="1"/>
      <w:marLeft w:val="0"/>
      <w:marRight w:val="0"/>
      <w:marTop w:val="0"/>
      <w:marBottom w:val="0"/>
      <w:divBdr>
        <w:top w:val="none" w:sz="0" w:space="0" w:color="auto"/>
        <w:left w:val="none" w:sz="0" w:space="0" w:color="auto"/>
        <w:bottom w:val="none" w:sz="0" w:space="0" w:color="auto"/>
        <w:right w:val="none" w:sz="0" w:space="0" w:color="auto"/>
      </w:divBdr>
      <w:divsChild>
        <w:div w:id="1213686465">
          <w:marLeft w:val="0"/>
          <w:marRight w:val="0"/>
          <w:marTop w:val="0"/>
          <w:marBottom w:val="0"/>
          <w:divBdr>
            <w:top w:val="none" w:sz="0" w:space="0" w:color="auto"/>
            <w:left w:val="none" w:sz="0" w:space="0" w:color="auto"/>
            <w:bottom w:val="none" w:sz="0" w:space="0" w:color="auto"/>
            <w:right w:val="none" w:sz="0" w:space="0" w:color="auto"/>
          </w:divBdr>
          <w:divsChild>
            <w:div w:id="1249728874">
              <w:marLeft w:val="0"/>
              <w:marRight w:val="0"/>
              <w:marTop w:val="0"/>
              <w:marBottom w:val="0"/>
              <w:divBdr>
                <w:top w:val="none" w:sz="0" w:space="0" w:color="auto"/>
                <w:left w:val="none" w:sz="0" w:space="0" w:color="auto"/>
                <w:bottom w:val="none" w:sz="0" w:space="0" w:color="auto"/>
                <w:right w:val="none" w:sz="0" w:space="0" w:color="auto"/>
              </w:divBdr>
              <w:divsChild>
                <w:div w:id="395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27391">
      <w:bodyDiv w:val="1"/>
      <w:marLeft w:val="0"/>
      <w:marRight w:val="0"/>
      <w:marTop w:val="0"/>
      <w:marBottom w:val="0"/>
      <w:divBdr>
        <w:top w:val="none" w:sz="0" w:space="0" w:color="auto"/>
        <w:left w:val="none" w:sz="0" w:space="0" w:color="auto"/>
        <w:bottom w:val="none" w:sz="0" w:space="0" w:color="auto"/>
        <w:right w:val="none" w:sz="0" w:space="0" w:color="auto"/>
      </w:divBdr>
      <w:divsChild>
        <w:div w:id="1604797169">
          <w:marLeft w:val="0"/>
          <w:marRight w:val="0"/>
          <w:marTop w:val="0"/>
          <w:marBottom w:val="0"/>
          <w:divBdr>
            <w:top w:val="none" w:sz="0" w:space="0" w:color="auto"/>
            <w:left w:val="none" w:sz="0" w:space="0" w:color="auto"/>
            <w:bottom w:val="none" w:sz="0" w:space="0" w:color="auto"/>
            <w:right w:val="none" w:sz="0" w:space="0" w:color="auto"/>
          </w:divBdr>
          <w:divsChild>
            <w:div w:id="1122656158">
              <w:marLeft w:val="0"/>
              <w:marRight w:val="0"/>
              <w:marTop w:val="0"/>
              <w:marBottom w:val="0"/>
              <w:divBdr>
                <w:top w:val="none" w:sz="0" w:space="0" w:color="auto"/>
                <w:left w:val="none" w:sz="0" w:space="0" w:color="auto"/>
                <w:bottom w:val="none" w:sz="0" w:space="0" w:color="auto"/>
                <w:right w:val="none" w:sz="0" w:space="0" w:color="auto"/>
              </w:divBdr>
              <w:divsChild>
                <w:div w:id="206834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048850">
      <w:bodyDiv w:val="1"/>
      <w:marLeft w:val="0"/>
      <w:marRight w:val="0"/>
      <w:marTop w:val="0"/>
      <w:marBottom w:val="0"/>
      <w:divBdr>
        <w:top w:val="none" w:sz="0" w:space="0" w:color="auto"/>
        <w:left w:val="none" w:sz="0" w:space="0" w:color="auto"/>
        <w:bottom w:val="none" w:sz="0" w:space="0" w:color="auto"/>
        <w:right w:val="none" w:sz="0" w:space="0" w:color="auto"/>
      </w:divBdr>
      <w:divsChild>
        <w:div w:id="1970360274">
          <w:marLeft w:val="0"/>
          <w:marRight w:val="0"/>
          <w:marTop w:val="0"/>
          <w:marBottom w:val="0"/>
          <w:divBdr>
            <w:top w:val="none" w:sz="0" w:space="0" w:color="auto"/>
            <w:left w:val="none" w:sz="0" w:space="0" w:color="auto"/>
            <w:bottom w:val="none" w:sz="0" w:space="0" w:color="auto"/>
            <w:right w:val="none" w:sz="0" w:space="0" w:color="auto"/>
          </w:divBdr>
          <w:divsChild>
            <w:div w:id="2109813379">
              <w:marLeft w:val="0"/>
              <w:marRight w:val="0"/>
              <w:marTop w:val="0"/>
              <w:marBottom w:val="0"/>
              <w:divBdr>
                <w:top w:val="none" w:sz="0" w:space="0" w:color="auto"/>
                <w:left w:val="none" w:sz="0" w:space="0" w:color="auto"/>
                <w:bottom w:val="none" w:sz="0" w:space="0" w:color="auto"/>
                <w:right w:val="none" w:sz="0" w:space="0" w:color="auto"/>
              </w:divBdr>
              <w:divsChild>
                <w:div w:id="193307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566084">
      <w:bodyDiv w:val="1"/>
      <w:marLeft w:val="0"/>
      <w:marRight w:val="0"/>
      <w:marTop w:val="0"/>
      <w:marBottom w:val="0"/>
      <w:divBdr>
        <w:top w:val="none" w:sz="0" w:space="0" w:color="auto"/>
        <w:left w:val="none" w:sz="0" w:space="0" w:color="auto"/>
        <w:bottom w:val="none" w:sz="0" w:space="0" w:color="auto"/>
        <w:right w:val="none" w:sz="0" w:space="0" w:color="auto"/>
      </w:divBdr>
      <w:divsChild>
        <w:div w:id="198981757">
          <w:marLeft w:val="0"/>
          <w:marRight w:val="0"/>
          <w:marTop w:val="0"/>
          <w:marBottom w:val="0"/>
          <w:divBdr>
            <w:top w:val="none" w:sz="0" w:space="0" w:color="auto"/>
            <w:left w:val="none" w:sz="0" w:space="0" w:color="auto"/>
            <w:bottom w:val="none" w:sz="0" w:space="0" w:color="auto"/>
            <w:right w:val="none" w:sz="0" w:space="0" w:color="auto"/>
          </w:divBdr>
          <w:divsChild>
            <w:div w:id="148639121">
              <w:marLeft w:val="0"/>
              <w:marRight w:val="0"/>
              <w:marTop w:val="0"/>
              <w:marBottom w:val="0"/>
              <w:divBdr>
                <w:top w:val="none" w:sz="0" w:space="0" w:color="auto"/>
                <w:left w:val="none" w:sz="0" w:space="0" w:color="auto"/>
                <w:bottom w:val="none" w:sz="0" w:space="0" w:color="auto"/>
                <w:right w:val="none" w:sz="0" w:space="0" w:color="auto"/>
              </w:divBdr>
              <w:divsChild>
                <w:div w:id="139693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989878">
      <w:bodyDiv w:val="1"/>
      <w:marLeft w:val="0"/>
      <w:marRight w:val="0"/>
      <w:marTop w:val="0"/>
      <w:marBottom w:val="0"/>
      <w:divBdr>
        <w:top w:val="none" w:sz="0" w:space="0" w:color="auto"/>
        <w:left w:val="none" w:sz="0" w:space="0" w:color="auto"/>
        <w:bottom w:val="none" w:sz="0" w:space="0" w:color="auto"/>
        <w:right w:val="none" w:sz="0" w:space="0" w:color="auto"/>
      </w:divBdr>
    </w:div>
    <w:div w:id="1164903664">
      <w:bodyDiv w:val="1"/>
      <w:marLeft w:val="0"/>
      <w:marRight w:val="0"/>
      <w:marTop w:val="0"/>
      <w:marBottom w:val="0"/>
      <w:divBdr>
        <w:top w:val="none" w:sz="0" w:space="0" w:color="auto"/>
        <w:left w:val="none" w:sz="0" w:space="0" w:color="auto"/>
        <w:bottom w:val="none" w:sz="0" w:space="0" w:color="auto"/>
        <w:right w:val="none" w:sz="0" w:space="0" w:color="auto"/>
      </w:divBdr>
      <w:divsChild>
        <w:div w:id="631516115">
          <w:marLeft w:val="0"/>
          <w:marRight w:val="0"/>
          <w:marTop w:val="0"/>
          <w:marBottom w:val="0"/>
          <w:divBdr>
            <w:top w:val="none" w:sz="0" w:space="0" w:color="auto"/>
            <w:left w:val="none" w:sz="0" w:space="0" w:color="auto"/>
            <w:bottom w:val="none" w:sz="0" w:space="0" w:color="auto"/>
            <w:right w:val="none" w:sz="0" w:space="0" w:color="auto"/>
          </w:divBdr>
          <w:divsChild>
            <w:div w:id="1078747140">
              <w:marLeft w:val="0"/>
              <w:marRight w:val="0"/>
              <w:marTop w:val="0"/>
              <w:marBottom w:val="0"/>
              <w:divBdr>
                <w:top w:val="none" w:sz="0" w:space="0" w:color="auto"/>
                <w:left w:val="none" w:sz="0" w:space="0" w:color="auto"/>
                <w:bottom w:val="none" w:sz="0" w:space="0" w:color="auto"/>
                <w:right w:val="none" w:sz="0" w:space="0" w:color="auto"/>
              </w:divBdr>
              <w:divsChild>
                <w:div w:id="174371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887100">
      <w:bodyDiv w:val="1"/>
      <w:marLeft w:val="0"/>
      <w:marRight w:val="0"/>
      <w:marTop w:val="0"/>
      <w:marBottom w:val="0"/>
      <w:divBdr>
        <w:top w:val="none" w:sz="0" w:space="0" w:color="auto"/>
        <w:left w:val="none" w:sz="0" w:space="0" w:color="auto"/>
        <w:bottom w:val="none" w:sz="0" w:space="0" w:color="auto"/>
        <w:right w:val="none" w:sz="0" w:space="0" w:color="auto"/>
      </w:divBdr>
      <w:divsChild>
        <w:div w:id="120418781">
          <w:marLeft w:val="0"/>
          <w:marRight w:val="0"/>
          <w:marTop w:val="0"/>
          <w:marBottom w:val="0"/>
          <w:divBdr>
            <w:top w:val="none" w:sz="0" w:space="0" w:color="auto"/>
            <w:left w:val="none" w:sz="0" w:space="0" w:color="auto"/>
            <w:bottom w:val="none" w:sz="0" w:space="0" w:color="auto"/>
            <w:right w:val="none" w:sz="0" w:space="0" w:color="auto"/>
          </w:divBdr>
          <w:divsChild>
            <w:div w:id="221408607">
              <w:marLeft w:val="0"/>
              <w:marRight w:val="0"/>
              <w:marTop w:val="0"/>
              <w:marBottom w:val="0"/>
              <w:divBdr>
                <w:top w:val="none" w:sz="0" w:space="0" w:color="auto"/>
                <w:left w:val="none" w:sz="0" w:space="0" w:color="auto"/>
                <w:bottom w:val="none" w:sz="0" w:space="0" w:color="auto"/>
                <w:right w:val="none" w:sz="0" w:space="0" w:color="auto"/>
              </w:divBdr>
              <w:divsChild>
                <w:div w:id="69430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817621">
      <w:bodyDiv w:val="1"/>
      <w:marLeft w:val="0"/>
      <w:marRight w:val="0"/>
      <w:marTop w:val="0"/>
      <w:marBottom w:val="0"/>
      <w:divBdr>
        <w:top w:val="none" w:sz="0" w:space="0" w:color="auto"/>
        <w:left w:val="none" w:sz="0" w:space="0" w:color="auto"/>
        <w:bottom w:val="none" w:sz="0" w:space="0" w:color="auto"/>
        <w:right w:val="none" w:sz="0" w:space="0" w:color="auto"/>
      </w:divBdr>
    </w:div>
    <w:div w:id="1869635177">
      <w:bodyDiv w:val="1"/>
      <w:marLeft w:val="0"/>
      <w:marRight w:val="0"/>
      <w:marTop w:val="0"/>
      <w:marBottom w:val="0"/>
      <w:divBdr>
        <w:top w:val="none" w:sz="0" w:space="0" w:color="auto"/>
        <w:left w:val="none" w:sz="0" w:space="0" w:color="auto"/>
        <w:bottom w:val="none" w:sz="0" w:space="0" w:color="auto"/>
        <w:right w:val="none" w:sz="0" w:space="0" w:color="auto"/>
      </w:divBdr>
    </w:div>
    <w:div w:id="1971738068">
      <w:bodyDiv w:val="1"/>
      <w:marLeft w:val="0"/>
      <w:marRight w:val="0"/>
      <w:marTop w:val="0"/>
      <w:marBottom w:val="0"/>
      <w:divBdr>
        <w:top w:val="none" w:sz="0" w:space="0" w:color="auto"/>
        <w:left w:val="none" w:sz="0" w:space="0" w:color="auto"/>
        <w:bottom w:val="none" w:sz="0" w:space="0" w:color="auto"/>
        <w:right w:val="none" w:sz="0" w:space="0" w:color="auto"/>
      </w:divBdr>
      <w:divsChild>
        <w:div w:id="765350404">
          <w:marLeft w:val="0"/>
          <w:marRight w:val="0"/>
          <w:marTop w:val="0"/>
          <w:marBottom w:val="0"/>
          <w:divBdr>
            <w:top w:val="none" w:sz="0" w:space="0" w:color="auto"/>
            <w:left w:val="none" w:sz="0" w:space="0" w:color="auto"/>
            <w:bottom w:val="none" w:sz="0" w:space="0" w:color="auto"/>
            <w:right w:val="none" w:sz="0" w:space="0" w:color="auto"/>
          </w:divBdr>
          <w:divsChild>
            <w:div w:id="414326160">
              <w:marLeft w:val="0"/>
              <w:marRight w:val="0"/>
              <w:marTop w:val="0"/>
              <w:marBottom w:val="0"/>
              <w:divBdr>
                <w:top w:val="none" w:sz="0" w:space="0" w:color="auto"/>
                <w:left w:val="none" w:sz="0" w:space="0" w:color="auto"/>
                <w:bottom w:val="none" w:sz="0" w:space="0" w:color="auto"/>
                <w:right w:val="none" w:sz="0" w:space="0" w:color="auto"/>
              </w:divBdr>
              <w:divsChild>
                <w:div w:id="9131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29421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eligiousfreedom@pmc.gov.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ssrn.com/abstract=1465125" TargetMode="External"/><Relationship Id="rId2" Type="http://schemas.openxmlformats.org/officeDocument/2006/relationships/hyperlink" Target="https://works.bepress.com/neil_foster/108/" TargetMode="External"/><Relationship Id="rId1" Type="http://schemas.openxmlformats.org/officeDocument/2006/relationships/hyperlink" Target="https://lawandreligionaustralia.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4</Pages>
  <Words>1577</Words>
  <Characters>8995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Neil Foster</cp:lastModifiedBy>
  <cp:revision>7</cp:revision>
  <dcterms:created xsi:type="dcterms:W3CDTF">2018-01-27T11:42:00Z</dcterms:created>
  <dcterms:modified xsi:type="dcterms:W3CDTF">2018-01-31T03:27:00Z</dcterms:modified>
</cp:coreProperties>
</file>